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EB161">
      <w:pPr>
        <w:pStyle w:val="8"/>
        <w:spacing w:before="93"/>
        <w:rPr>
          <w:rFonts w:ascii="Times New Roman" w:eastAsia="方正小标宋简体"/>
          <w:kern w:val="2"/>
          <w:sz w:val="72"/>
          <w:szCs w:val="72"/>
        </w:rPr>
      </w:pPr>
      <w:bookmarkStart w:id="0" w:name="_Toc15377425"/>
      <w:bookmarkStart w:id="1" w:name="_Toc15377193"/>
      <w:bookmarkStart w:id="2" w:name="_Toc15396475"/>
      <w:bookmarkStart w:id="3" w:name="_Toc15378441"/>
      <w:bookmarkStart w:id="4" w:name="_Toc15396597"/>
      <w:bookmarkStart w:id="5" w:name="_Toc15306267"/>
    </w:p>
    <w:p w14:paraId="5ACC84CA">
      <w:pPr>
        <w:pStyle w:val="8"/>
        <w:spacing w:before="93"/>
        <w:rPr>
          <w:rFonts w:ascii="Times New Roman" w:eastAsia="方正小标宋简体"/>
          <w:kern w:val="2"/>
          <w:sz w:val="72"/>
          <w:szCs w:val="72"/>
        </w:rPr>
      </w:pPr>
    </w:p>
    <w:p w14:paraId="49B70DEC">
      <w:pPr>
        <w:pStyle w:val="8"/>
        <w:spacing w:before="93"/>
        <w:rPr>
          <w:rFonts w:ascii="Times New Roman" w:eastAsia="方正小标宋简体"/>
          <w:kern w:val="2"/>
          <w:sz w:val="72"/>
          <w:szCs w:val="72"/>
        </w:rPr>
      </w:pPr>
    </w:p>
    <w:p w14:paraId="4F70C7FD">
      <w:pPr>
        <w:pStyle w:val="8"/>
        <w:spacing w:before="93"/>
        <w:jc w:val="center"/>
        <w:rPr>
          <w:rFonts w:ascii="Times New Roman" w:eastAsia="方正小标宋简体"/>
          <w:kern w:val="2"/>
          <w:sz w:val="44"/>
          <w:szCs w:val="44"/>
        </w:rPr>
      </w:pPr>
      <w:r>
        <w:rPr>
          <w:rFonts w:hint="eastAsia" w:ascii="Times New Roman" w:eastAsia="方正小标宋简体"/>
          <w:kern w:val="2"/>
          <w:sz w:val="44"/>
          <w:szCs w:val="44"/>
        </w:rPr>
        <w:t>攀枝花市公共资源交易服务中心</w:t>
      </w:r>
      <w:r>
        <w:rPr>
          <w:rFonts w:ascii="Times New Roman" w:eastAsia="方正小标宋简体"/>
          <w:kern w:val="2"/>
          <w:sz w:val="44"/>
          <w:szCs w:val="44"/>
        </w:rPr>
        <w:t>2024</w:t>
      </w:r>
      <w:r>
        <w:rPr>
          <w:rFonts w:hint="eastAsia" w:ascii="Times New Roman" w:eastAsia="方正小标宋简体"/>
          <w:kern w:val="2"/>
          <w:sz w:val="44"/>
          <w:szCs w:val="44"/>
        </w:rPr>
        <w:t>年度单位决算公开文字说明</w:t>
      </w:r>
    </w:p>
    <w:p w14:paraId="4DBF8335">
      <w:pPr>
        <w:spacing w:line="600" w:lineRule="exact"/>
        <w:jc w:val="center"/>
        <w:outlineLvl w:val="0"/>
        <w:rPr>
          <w:rFonts w:eastAsia="方正小标宋简体"/>
          <w:sz w:val="72"/>
          <w:szCs w:val="72"/>
        </w:rPr>
      </w:pPr>
    </w:p>
    <w:p w14:paraId="637D5901">
      <w:pPr>
        <w:pStyle w:val="30"/>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14:paraId="283F51E8"/>
    <w:p w14:paraId="6347D818">
      <w:pPr>
        <w:pStyle w:val="8"/>
        <w:spacing w:before="93"/>
        <w:jc w:val="center"/>
        <w:rPr>
          <w:rFonts w:ascii="Times New Roman" w:eastAsia="方正小标宋简体"/>
          <w:kern w:val="2"/>
          <w:sz w:val="44"/>
          <w:szCs w:val="44"/>
        </w:rPr>
      </w:pPr>
    </w:p>
    <w:p w14:paraId="7C65E152">
      <w:pPr>
        <w:pStyle w:val="8"/>
        <w:spacing w:before="93"/>
        <w:jc w:val="center"/>
        <w:rPr>
          <w:rFonts w:ascii="Times New Roman" w:eastAsia="方正小标宋简体"/>
          <w:kern w:val="2"/>
          <w:sz w:val="44"/>
          <w:szCs w:val="44"/>
        </w:rPr>
      </w:pPr>
    </w:p>
    <w:p w14:paraId="3D00F874">
      <w:pPr>
        <w:pStyle w:val="8"/>
        <w:spacing w:before="93"/>
        <w:jc w:val="center"/>
        <w:rPr>
          <w:rFonts w:ascii="Times New Roman" w:eastAsia="方正小标宋简体"/>
          <w:kern w:val="2"/>
          <w:sz w:val="44"/>
          <w:szCs w:val="44"/>
        </w:rPr>
      </w:pPr>
    </w:p>
    <w:p w14:paraId="5984D563">
      <w:pPr>
        <w:pStyle w:val="8"/>
        <w:spacing w:before="93"/>
        <w:jc w:val="center"/>
        <w:rPr>
          <w:rFonts w:ascii="Times New Roman" w:eastAsia="方正小标宋简体"/>
          <w:kern w:val="2"/>
          <w:sz w:val="44"/>
          <w:szCs w:val="44"/>
        </w:rPr>
      </w:pPr>
    </w:p>
    <w:bookmarkEnd w:id="0"/>
    <w:bookmarkEnd w:id="1"/>
    <w:bookmarkEnd w:id="2"/>
    <w:bookmarkEnd w:id="3"/>
    <w:bookmarkEnd w:id="4"/>
    <w:p w14:paraId="5042F3B5">
      <w:pPr>
        <w:pStyle w:val="8"/>
        <w:spacing w:before="93"/>
        <w:jc w:val="center"/>
        <w:rPr>
          <w:rFonts w:ascii="Times New Roman" w:eastAsia="方正小标宋简体"/>
          <w:kern w:val="2"/>
          <w:sz w:val="44"/>
          <w:szCs w:val="44"/>
        </w:rPr>
      </w:pPr>
      <w:bookmarkStart w:id="6" w:name="_Toc15396476"/>
      <w:bookmarkStart w:id="7" w:name="_Toc15377426"/>
      <w:bookmarkStart w:id="8" w:name="_Toc15378442"/>
      <w:bookmarkStart w:id="9" w:name="_Toc15396598"/>
      <w:bookmarkStart w:id="10" w:name="_Toc15377194"/>
      <w:r>
        <w:rPr>
          <w:rFonts w:ascii="Times New Roman" w:eastAsia="方正小标宋简体"/>
          <w:kern w:val="2"/>
          <w:sz w:val="44"/>
          <w:szCs w:val="44"/>
        </w:rPr>
        <w:t>2024</w:t>
      </w:r>
      <w:r>
        <w:rPr>
          <w:rFonts w:hint="eastAsia" w:ascii="Times New Roman" w:eastAsia="方正小标宋简体"/>
          <w:kern w:val="2"/>
          <w:sz w:val="44"/>
          <w:szCs w:val="44"/>
        </w:rPr>
        <w:t>年度</w:t>
      </w:r>
      <w:bookmarkEnd w:id="5"/>
      <w:bookmarkStart w:id="11" w:name="_Toc15306268"/>
      <w:r>
        <w:rPr>
          <w:rFonts w:hint="eastAsia" w:ascii="Times New Roman" w:eastAsia="方正小标宋简体"/>
          <w:kern w:val="2"/>
          <w:sz w:val="44"/>
          <w:szCs w:val="44"/>
        </w:rPr>
        <w:t>攀枝花市公共资源交易服务中心单位决算</w:t>
      </w:r>
      <w:bookmarkEnd w:id="6"/>
      <w:bookmarkEnd w:id="7"/>
      <w:bookmarkEnd w:id="8"/>
      <w:bookmarkEnd w:id="9"/>
      <w:bookmarkEnd w:id="10"/>
      <w:bookmarkEnd w:id="11"/>
    </w:p>
    <w:p w14:paraId="799E4DB8">
      <w:pPr>
        <w:widowControl/>
        <w:jc w:val="center"/>
        <w:rPr>
          <w:rFonts w:eastAsia="黑体"/>
          <w:sz w:val="48"/>
          <w:szCs w:val="48"/>
        </w:rPr>
      </w:pPr>
      <w:r>
        <w:rPr>
          <w:rFonts w:eastAsia="方正小标宋简体"/>
          <w:sz w:val="36"/>
          <w:szCs w:val="36"/>
        </w:rPr>
        <w:br w:type="page"/>
      </w:r>
      <w:r>
        <w:rPr>
          <w:rFonts w:hint="eastAsia" w:eastAsia="黑体"/>
          <w:sz w:val="48"/>
          <w:szCs w:val="48"/>
        </w:rPr>
        <w:t>目录</w:t>
      </w:r>
    </w:p>
    <w:p w14:paraId="4C1CDB26">
      <w:pPr>
        <w:widowControl/>
        <w:jc w:val="center"/>
        <w:rPr>
          <w:rFonts w:eastAsia="黑体"/>
          <w:sz w:val="28"/>
          <w:szCs w:val="28"/>
        </w:rPr>
      </w:pPr>
    </w:p>
    <w:p w14:paraId="48468FC7">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w:t>
      </w:r>
      <w:r>
        <w:rPr>
          <w:rFonts w:ascii="Times New Roman" w:hAnsi="Times New Roman" w:eastAsia="仿宋_GB2312" w:cs="仿宋_GB2312"/>
          <w:sz w:val="32"/>
          <w:szCs w:val="32"/>
        </w:rPr>
        <w:t>2024</w:t>
      </w:r>
      <w:r>
        <w:rPr>
          <w:rFonts w:hint="eastAsia" w:ascii="Times New Roman" w:hAnsi="Times New Roman" w:eastAsia="仿宋_GB2312" w:cs="仿宋_GB2312"/>
          <w:sz w:val="32"/>
          <w:szCs w:val="32"/>
        </w:rPr>
        <w:t>年</w:t>
      </w:r>
      <w:r>
        <w:rPr>
          <w:rFonts w:ascii="Times New Roman" w:hAnsi="Times New Roman" w:eastAsia="仿宋_GB2312" w:cs="仿宋_GB2312"/>
          <w:sz w:val="32"/>
          <w:szCs w:val="32"/>
        </w:rPr>
        <w:t>9</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6</w:t>
      </w:r>
      <w:bookmarkStart w:id="70" w:name="_GoBack"/>
      <w:bookmarkEnd w:id="70"/>
      <w:r>
        <w:rPr>
          <w:rFonts w:hint="eastAsia" w:ascii="Times New Roman" w:hAnsi="Times New Roman" w:eastAsia="仿宋_GB2312" w:cs="仿宋_GB2312"/>
          <w:sz w:val="32"/>
          <w:szCs w:val="32"/>
        </w:rPr>
        <w:t>日</w:t>
      </w:r>
    </w:p>
    <w:p w14:paraId="429BEF73"/>
    <w:p w14:paraId="1FBDA650">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第一部分</w:t>
      </w:r>
      <w:r>
        <w:rPr>
          <w:rFonts w:ascii="Times New Roman" w:hAnsi="Times New Roman" w:eastAsia="黑体" w:cs="黑体"/>
          <w:sz w:val="32"/>
          <w:szCs w:val="32"/>
        </w:rPr>
        <w:t xml:space="preserve"> </w:t>
      </w:r>
      <w:r>
        <w:rPr>
          <w:rFonts w:hint="eastAsia" w:ascii="Times New Roman" w:hAnsi="Times New Roman" w:eastAsia="黑体" w:cs="黑体"/>
          <w:sz w:val="32"/>
          <w:szCs w:val="32"/>
        </w:rPr>
        <w:t>部门概况</w:t>
      </w:r>
      <w:r>
        <w:rPr>
          <w:rFonts w:ascii="Times New Roman" w:hAnsi="Times New Roman" w:eastAsia="黑体" w:cs="黑体"/>
          <w:sz w:val="32"/>
          <w:szCs w:val="32"/>
        </w:rPr>
        <w:t>3</w:t>
      </w:r>
    </w:p>
    <w:p w14:paraId="7B5042AC">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一、部门职责</w:t>
      </w:r>
      <w:r>
        <w:rPr>
          <w:rFonts w:eastAsia="仿宋_GB2312" w:cs="仿宋_GB2312"/>
          <w:sz w:val="32"/>
          <w:szCs w:val="32"/>
        </w:rPr>
        <w:t>3</w:t>
      </w:r>
    </w:p>
    <w:p w14:paraId="670B27E0">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二、机构设置</w:t>
      </w:r>
      <w:r>
        <w:rPr>
          <w:rFonts w:eastAsia="仿宋_GB2312" w:cs="仿宋_GB2312"/>
          <w:sz w:val="32"/>
          <w:szCs w:val="32"/>
        </w:rPr>
        <w:t>3</w:t>
      </w:r>
    </w:p>
    <w:p w14:paraId="44BFD20C">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第二部分</w:t>
      </w:r>
      <w:r>
        <w:rPr>
          <w:rFonts w:ascii="Times New Roman" w:hAnsi="Times New Roman" w:eastAsia="黑体" w:cs="黑体"/>
          <w:sz w:val="32"/>
          <w:szCs w:val="32"/>
        </w:rPr>
        <w:t xml:space="preserve"> 2024</w:t>
      </w:r>
      <w:r>
        <w:rPr>
          <w:rFonts w:hint="eastAsia" w:ascii="Times New Roman" w:hAnsi="Times New Roman" w:eastAsia="黑体" w:cs="黑体"/>
          <w:sz w:val="32"/>
          <w:szCs w:val="32"/>
        </w:rPr>
        <w:t>年度部门决算情况说明</w:t>
      </w:r>
      <w:r>
        <w:rPr>
          <w:rFonts w:ascii="Times New Roman" w:hAnsi="Times New Roman" w:eastAsia="黑体" w:cs="黑体"/>
          <w:sz w:val="32"/>
          <w:szCs w:val="32"/>
        </w:rPr>
        <w:t>4</w:t>
      </w:r>
    </w:p>
    <w:p w14:paraId="6EBB146C">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一、收入支出决算总体情况说明</w:t>
      </w:r>
      <w:r>
        <w:rPr>
          <w:rFonts w:eastAsia="仿宋_GB2312" w:cs="仿宋_GB2312"/>
          <w:sz w:val="32"/>
          <w:szCs w:val="32"/>
        </w:rPr>
        <w:t>4</w:t>
      </w:r>
    </w:p>
    <w:p w14:paraId="2882BBB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二、收入决算情况说明</w:t>
      </w:r>
      <w:r>
        <w:rPr>
          <w:rFonts w:eastAsia="仿宋_GB2312" w:cs="仿宋_GB2312"/>
          <w:sz w:val="32"/>
          <w:szCs w:val="32"/>
        </w:rPr>
        <w:t>5</w:t>
      </w:r>
    </w:p>
    <w:p w14:paraId="447529B9">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三、支出决算情况说明</w:t>
      </w:r>
      <w:r>
        <w:rPr>
          <w:rFonts w:eastAsia="仿宋_GB2312" w:cs="仿宋_GB2312"/>
          <w:sz w:val="32"/>
          <w:szCs w:val="32"/>
        </w:rPr>
        <w:t>6</w:t>
      </w:r>
    </w:p>
    <w:p w14:paraId="2D6BFE9B">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四、财政拨款收入支出决算总体情况说明</w:t>
      </w:r>
      <w:r>
        <w:rPr>
          <w:rFonts w:eastAsia="仿宋_GB2312" w:cs="仿宋_GB2312"/>
          <w:sz w:val="32"/>
          <w:szCs w:val="32"/>
        </w:rPr>
        <w:t>7</w:t>
      </w:r>
    </w:p>
    <w:p w14:paraId="2E6563D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五、一般公共预算财政拨款支出决算情况说明</w:t>
      </w:r>
      <w:r>
        <w:rPr>
          <w:rFonts w:eastAsia="仿宋_GB2312" w:cs="仿宋_GB2312"/>
          <w:sz w:val="32"/>
          <w:szCs w:val="32"/>
        </w:rPr>
        <w:t>7</w:t>
      </w:r>
    </w:p>
    <w:p w14:paraId="043BFCF3">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六、一般公共预算财政拨款基本支出决算情况说明</w:t>
      </w:r>
      <w:r>
        <w:rPr>
          <w:rFonts w:eastAsia="仿宋_GB2312" w:cs="仿宋_GB2312"/>
          <w:sz w:val="32"/>
          <w:szCs w:val="32"/>
        </w:rPr>
        <w:t>10</w:t>
      </w:r>
    </w:p>
    <w:p w14:paraId="1B7F3FD6">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七、财政拨款“三公”经费支出决算情况说明</w:t>
      </w:r>
      <w:r>
        <w:rPr>
          <w:rFonts w:eastAsia="仿宋_GB2312" w:cs="仿宋_GB2312"/>
          <w:sz w:val="32"/>
          <w:szCs w:val="32"/>
        </w:rPr>
        <w:t>11</w:t>
      </w:r>
    </w:p>
    <w:p w14:paraId="6FAE16F0">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八、政府性基金预算支出决算情况说明</w:t>
      </w:r>
      <w:r>
        <w:rPr>
          <w:rFonts w:eastAsia="仿宋_GB2312" w:cs="仿宋_GB2312"/>
          <w:sz w:val="32"/>
          <w:szCs w:val="32"/>
        </w:rPr>
        <w:t>12</w:t>
      </w:r>
    </w:p>
    <w:p w14:paraId="19B847F5">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九、国有资本经营预算支出决算情况说明</w:t>
      </w:r>
      <w:r>
        <w:rPr>
          <w:rFonts w:eastAsia="仿宋_GB2312" w:cs="仿宋_GB2312"/>
          <w:sz w:val="32"/>
          <w:szCs w:val="32"/>
        </w:rPr>
        <w:t>12</w:t>
      </w:r>
    </w:p>
    <w:p w14:paraId="7B8EFB2B">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十、其他重要事项的情况说明</w:t>
      </w:r>
      <w:r>
        <w:rPr>
          <w:rFonts w:eastAsia="仿宋_GB2312" w:cs="仿宋_GB2312"/>
          <w:sz w:val="32"/>
          <w:szCs w:val="32"/>
        </w:rPr>
        <w:t>12</w:t>
      </w:r>
    </w:p>
    <w:p w14:paraId="2C20F426">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第三部分</w:t>
      </w:r>
      <w:r>
        <w:rPr>
          <w:rFonts w:ascii="Times New Roman" w:hAnsi="Times New Roman" w:eastAsia="黑体" w:cs="黑体"/>
          <w:sz w:val="32"/>
          <w:szCs w:val="32"/>
        </w:rPr>
        <w:t xml:space="preserve"> </w:t>
      </w:r>
      <w:r>
        <w:rPr>
          <w:rFonts w:hint="eastAsia" w:ascii="Times New Roman" w:hAnsi="Times New Roman" w:eastAsia="黑体" w:cs="黑体"/>
          <w:sz w:val="32"/>
          <w:szCs w:val="32"/>
        </w:rPr>
        <w:t>名词解释</w:t>
      </w:r>
      <w:r>
        <w:rPr>
          <w:rFonts w:ascii="Times New Roman" w:hAnsi="Times New Roman" w:eastAsia="黑体" w:cs="黑体"/>
          <w:sz w:val="32"/>
          <w:szCs w:val="32"/>
        </w:rPr>
        <w:t>14</w:t>
      </w:r>
    </w:p>
    <w:p w14:paraId="51AEC97D">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第四部分</w:t>
      </w:r>
      <w:r>
        <w:rPr>
          <w:rFonts w:ascii="Times New Roman" w:hAnsi="Times New Roman" w:eastAsia="黑体" w:cs="黑体"/>
          <w:sz w:val="32"/>
          <w:szCs w:val="32"/>
        </w:rPr>
        <w:t xml:space="preserve"> </w:t>
      </w:r>
      <w:r>
        <w:rPr>
          <w:rFonts w:hint="eastAsia" w:ascii="Times New Roman" w:hAnsi="Times New Roman" w:eastAsia="黑体" w:cs="黑体"/>
          <w:sz w:val="32"/>
          <w:szCs w:val="32"/>
        </w:rPr>
        <w:t>附件</w:t>
      </w:r>
      <w:r>
        <w:rPr>
          <w:rFonts w:ascii="Times New Roman" w:hAnsi="Times New Roman" w:eastAsia="黑体" w:cs="黑体"/>
          <w:sz w:val="32"/>
          <w:szCs w:val="32"/>
        </w:rPr>
        <w:t>17</w:t>
      </w:r>
    </w:p>
    <w:p w14:paraId="625FEF76">
      <w:pPr>
        <w:pStyle w:val="13"/>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第五部分</w:t>
      </w:r>
      <w:r>
        <w:rPr>
          <w:rFonts w:ascii="Times New Roman" w:hAnsi="Times New Roman" w:eastAsia="黑体" w:cs="黑体"/>
          <w:sz w:val="32"/>
          <w:szCs w:val="32"/>
        </w:rPr>
        <w:t xml:space="preserve"> </w:t>
      </w:r>
      <w:r>
        <w:rPr>
          <w:rFonts w:hint="eastAsia" w:ascii="Times New Roman" w:hAnsi="Times New Roman" w:eastAsia="黑体" w:cs="黑体"/>
          <w:sz w:val="32"/>
          <w:szCs w:val="32"/>
        </w:rPr>
        <w:t>附表</w:t>
      </w:r>
      <w:r>
        <w:rPr>
          <w:rFonts w:ascii="Times New Roman" w:hAnsi="Times New Roman" w:eastAsia="黑体" w:cs="黑体"/>
          <w:sz w:val="32"/>
          <w:szCs w:val="32"/>
        </w:rPr>
        <w:t>17</w:t>
      </w:r>
    </w:p>
    <w:p w14:paraId="38AB6263">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一、收入支出决算总表</w:t>
      </w:r>
      <w:r>
        <w:rPr>
          <w:rFonts w:eastAsia="仿宋_GB2312" w:cs="仿宋_GB2312"/>
          <w:sz w:val="32"/>
          <w:szCs w:val="32"/>
        </w:rPr>
        <w:t>17</w:t>
      </w:r>
    </w:p>
    <w:p w14:paraId="10CFFD8F">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二、收入决算表</w:t>
      </w:r>
      <w:r>
        <w:rPr>
          <w:rFonts w:eastAsia="仿宋_GB2312" w:cs="仿宋_GB2312"/>
          <w:sz w:val="32"/>
          <w:szCs w:val="32"/>
        </w:rPr>
        <w:t>17</w:t>
      </w:r>
    </w:p>
    <w:p w14:paraId="48B65ED9">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三、支出决算表</w:t>
      </w:r>
      <w:r>
        <w:rPr>
          <w:rFonts w:eastAsia="仿宋_GB2312" w:cs="仿宋_GB2312"/>
          <w:sz w:val="32"/>
          <w:szCs w:val="32"/>
        </w:rPr>
        <w:t>17</w:t>
      </w:r>
    </w:p>
    <w:p w14:paraId="4BCDA90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四、财政拨款收入支出决算总表</w:t>
      </w:r>
      <w:r>
        <w:rPr>
          <w:rFonts w:eastAsia="仿宋_GB2312" w:cs="仿宋_GB2312"/>
          <w:sz w:val="32"/>
          <w:szCs w:val="32"/>
        </w:rPr>
        <w:t>17</w:t>
      </w:r>
    </w:p>
    <w:p w14:paraId="3E2F1F54">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五、财政拨款支出决算明细表</w:t>
      </w:r>
      <w:r>
        <w:rPr>
          <w:rFonts w:eastAsia="仿宋_GB2312" w:cs="仿宋_GB2312"/>
          <w:sz w:val="32"/>
          <w:szCs w:val="32"/>
        </w:rPr>
        <w:t>17</w:t>
      </w:r>
    </w:p>
    <w:p w14:paraId="1238D778">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六、一般公共预算财政拨款支出决算表</w:t>
      </w:r>
      <w:r>
        <w:rPr>
          <w:rFonts w:eastAsia="仿宋_GB2312" w:cs="仿宋_GB2312"/>
          <w:sz w:val="32"/>
          <w:szCs w:val="32"/>
        </w:rPr>
        <w:t>17</w:t>
      </w:r>
    </w:p>
    <w:p w14:paraId="1EA45AF4">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七、一般公共预算财政拨款支出决算明细表</w:t>
      </w:r>
      <w:r>
        <w:rPr>
          <w:rFonts w:eastAsia="仿宋_GB2312" w:cs="仿宋_GB2312"/>
          <w:sz w:val="32"/>
          <w:szCs w:val="32"/>
        </w:rPr>
        <w:t>17</w:t>
      </w:r>
    </w:p>
    <w:p w14:paraId="00FAFC23">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八、一般公共预算财政拨款基本支出决算明细表</w:t>
      </w:r>
      <w:r>
        <w:rPr>
          <w:rFonts w:eastAsia="仿宋_GB2312" w:cs="仿宋_GB2312"/>
          <w:sz w:val="32"/>
          <w:szCs w:val="32"/>
        </w:rPr>
        <w:t>17</w:t>
      </w:r>
    </w:p>
    <w:p w14:paraId="35A1C2F2">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r>
        <w:rPr>
          <w:rFonts w:eastAsia="仿宋_GB2312" w:cs="仿宋_GB2312"/>
          <w:sz w:val="32"/>
          <w:szCs w:val="32"/>
        </w:rPr>
        <w:t>17</w:t>
      </w:r>
    </w:p>
    <w:p w14:paraId="77A39C25">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r>
        <w:rPr>
          <w:rFonts w:eastAsia="仿宋_GB2312" w:cs="仿宋_GB2312"/>
          <w:sz w:val="32"/>
          <w:szCs w:val="32"/>
        </w:rPr>
        <w:t>17</w:t>
      </w:r>
    </w:p>
    <w:p w14:paraId="5F86B675">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十一、国有资本经营预算财政拨款收入支出决算表</w:t>
      </w:r>
      <w:r>
        <w:rPr>
          <w:rFonts w:eastAsia="仿宋_GB2312" w:cs="仿宋_GB2312"/>
          <w:sz w:val="32"/>
          <w:szCs w:val="32"/>
        </w:rPr>
        <w:t>17</w:t>
      </w:r>
    </w:p>
    <w:p w14:paraId="3AC033CC">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十二、国有资本经营预算财政拨款支出决算表</w:t>
      </w:r>
      <w:r>
        <w:rPr>
          <w:rFonts w:eastAsia="仿宋_GB2312" w:cs="仿宋_GB2312"/>
          <w:sz w:val="32"/>
          <w:szCs w:val="32"/>
        </w:rPr>
        <w:t>17</w:t>
      </w:r>
    </w:p>
    <w:p w14:paraId="3CCA5A33">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十三、财政拨款“三公”经费支出决算表</w:t>
      </w:r>
      <w:r>
        <w:rPr>
          <w:rFonts w:eastAsia="仿宋_GB2312" w:cs="仿宋_GB2312"/>
          <w:sz w:val="32"/>
          <w:szCs w:val="32"/>
        </w:rPr>
        <w:t>17</w:t>
      </w:r>
    </w:p>
    <w:p w14:paraId="5D100BB7">
      <w:pPr>
        <w:widowControl/>
        <w:spacing w:line="560" w:lineRule="exact"/>
        <w:jc w:val="left"/>
        <w:rPr>
          <w:rFonts w:eastAsia="仿宋_GB2312" w:cs="仿宋_GB2312"/>
          <w:bCs/>
          <w:kern w:val="44"/>
          <w:sz w:val="32"/>
          <w:szCs w:val="32"/>
        </w:rPr>
      </w:pPr>
      <w:bookmarkStart w:id="12" w:name="_Toc15377196"/>
      <w:bookmarkStart w:id="13" w:name="_Toc15396599"/>
      <w:r>
        <w:rPr>
          <w:rFonts w:eastAsia="仿宋_GB2312" w:cs="仿宋_GB2312"/>
          <w:b/>
          <w:sz w:val="32"/>
          <w:szCs w:val="32"/>
        </w:rPr>
        <w:br w:type="page"/>
      </w:r>
    </w:p>
    <w:p w14:paraId="15D41C7E">
      <w:pPr>
        <w:pStyle w:val="5"/>
        <w:jc w:val="center"/>
        <w:rPr>
          <w:rStyle w:val="20"/>
          <w:rFonts w:eastAsia="方正小标宋简体" w:cs="方正小标宋简体"/>
          <w:b/>
          <w:bCs w:val="0"/>
        </w:rPr>
      </w:pPr>
      <w:r>
        <w:rPr>
          <w:rFonts w:hint="eastAsia" w:eastAsia="方正小标宋简体" w:cs="方正小标宋简体"/>
          <w:b w:val="0"/>
        </w:rPr>
        <w:t>第一部分</w:t>
      </w:r>
      <w:r>
        <w:rPr>
          <w:rFonts w:eastAsia="方正小标宋简体" w:cs="方正小标宋简体"/>
          <w:b w:val="0"/>
        </w:rPr>
        <w:t xml:space="preserve">  </w:t>
      </w:r>
      <w:r>
        <w:rPr>
          <w:rStyle w:val="20"/>
          <w:rFonts w:hint="eastAsia" w:eastAsia="方正小标宋简体" w:cs="方正小标宋简体"/>
          <w:b w:val="0"/>
          <w:bCs w:val="0"/>
        </w:rPr>
        <w:t>单位概况</w:t>
      </w:r>
      <w:bookmarkEnd w:id="12"/>
      <w:bookmarkEnd w:id="13"/>
    </w:p>
    <w:p w14:paraId="48492407">
      <w:pPr>
        <w:pStyle w:val="6"/>
        <w:rPr>
          <w:rStyle w:val="21"/>
          <w:rFonts w:ascii="Times New Roman" w:hAnsi="Times New Roman" w:eastAsia="黑体"/>
          <w:b w:val="0"/>
          <w:bCs w:val="0"/>
        </w:rPr>
      </w:pPr>
      <w:bookmarkStart w:id="14" w:name="_Toc15396600"/>
      <w:bookmarkStart w:id="15" w:name="_Toc15377197"/>
      <w:r>
        <w:rPr>
          <w:rFonts w:hint="eastAsia" w:ascii="Times New Roman" w:hAnsi="Times New Roman" w:eastAsia="黑体"/>
          <w:b w:val="0"/>
        </w:rPr>
        <w:t>一、</w:t>
      </w:r>
      <w:bookmarkEnd w:id="14"/>
      <w:bookmarkEnd w:id="15"/>
      <w:r>
        <w:rPr>
          <w:rFonts w:hint="eastAsia" w:ascii="Times New Roman" w:hAnsi="Times New Roman" w:eastAsia="黑体"/>
          <w:b w:val="0"/>
        </w:rPr>
        <w:t>单位职责</w:t>
      </w:r>
    </w:p>
    <w:p w14:paraId="3C6D89C7">
      <w:pPr>
        <w:pStyle w:val="8"/>
        <w:adjustRightInd w:val="0"/>
        <w:spacing w:beforeLines="0" w:line="600" w:lineRule="exact"/>
        <w:ind w:left="420" w:firstLine="672" w:firstLineChars="210"/>
        <w:rPr>
          <w:rFonts w:ascii="Times New Roman"/>
          <w:sz w:val="32"/>
        </w:rPr>
      </w:pPr>
      <w:bookmarkStart w:id="16" w:name="_Toc15377200"/>
      <w:bookmarkStart w:id="17" w:name="_Toc15396601"/>
      <w:r>
        <w:rPr>
          <w:rFonts w:hint="eastAsia" w:ascii="Times New Roman"/>
          <w:sz w:val="32"/>
        </w:rPr>
        <w:t>制定公共资源现场交易管理办法和各项业务操作规程；负责承担公共资源交易服务平台、专家库、公共资源数据库系统的建设、维护和管理工作；核验参与公共资源交易活动各方主体资格和进场交易项目相关手续；为建设工程招投标、政府采购、国有土地矿权交易、国有资产等公共资源交易活动提供场所、设施、信息和现场管理服务；负责按规定实施现场秩序管理和监督工作，为相关行业部门监管提供协助，建立公共资源现场交易信用和纪律档案；收集、存储和发布公共资源信息，整理、保存交易过程中的相关资料备查；根据相关规定和委托，承担政府集中采购的事务性工作；负责公共资源交易投标保证金、履约保证金、竞买保证金的收退工作。</w:t>
      </w:r>
    </w:p>
    <w:p w14:paraId="1718503C">
      <w:pPr>
        <w:pStyle w:val="6"/>
        <w:rPr>
          <w:rStyle w:val="21"/>
          <w:rFonts w:ascii="Times New Roman" w:hAnsi="Times New Roman"/>
          <w:b w:val="0"/>
          <w:bCs w:val="0"/>
        </w:rPr>
      </w:pPr>
      <w:r>
        <w:rPr>
          <w:rFonts w:hint="eastAsia" w:ascii="Times New Roman" w:hAnsi="Times New Roman" w:eastAsia="黑体"/>
          <w:b w:val="0"/>
        </w:rPr>
        <w:t>二、机</w:t>
      </w:r>
      <w:r>
        <w:rPr>
          <w:rStyle w:val="21"/>
          <w:rFonts w:hint="eastAsia" w:ascii="Times New Roman" w:hAnsi="Times New Roman" w:eastAsia="黑体"/>
          <w:b w:val="0"/>
          <w:bCs w:val="0"/>
        </w:rPr>
        <w:t>构设置</w:t>
      </w:r>
      <w:bookmarkEnd w:id="16"/>
      <w:bookmarkEnd w:id="17"/>
    </w:p>
    <w:p w14:paraId="19610A28">
      <w:pPr>
        <w:ind w:firstLine="800" w:firstLineChars="250"/>
        <w:rPr>
          <w:rFonts w:eastAsia="仿宋_GB2312" w:cs="仿宋_GB2312"/>
          <w:sz w:val="32"/>
          <w:szCs w:val="32"/>
        </w:rPr>
      </w:pPr>
      <w:r>
        <w:rPr>
          <w:rFonts w:hint="eastAsia" w:ascii="仿宋_GB2312" w:hAnsi="仿宋_GB2312" w:eastAsia="仿宋_GB2312" w:cs="仿宋_GB2312"/>
          <w:sz w:val="32"/>
          <w:szCs w:val="32"/>
        </w:rPr>
        <w:t>攀枝花市公共资源交易服务中心</w:t>
      </w:r>
      <w:r>
        <w:rPr>
          <w:rFonts w:hint="eastAsia" w:eastAsia="仿宋_GB2312" w:cs="仿宋_GB2312"/>
          <w:sz w:val="32"/>
          <w:szCs w:val="32"/>
        </w:rPr>
        <w:t>下属二级预算单位</w:t>
      </w:r>
      <w:r>
        <w:rPr>
          <w:rFonts w:eastAsia="仿宋_GB2312" w:cs="仿宋_GB2312"/>
          <w:sz w:val="32"/>
          <w:szCs w:val="32"/>
        </w:rPr>
        <w:t>0</w:t>
      </w:r>
      <w:r>
        <w:rPr>
          <w:rFonts w:hint="eastAsia" w:eastAsia="仿宋_GB2312" w:cs="仿宋_GB2312"/>
          <w:sz w:val="32"/>
          <w:szCs w:val="32"/>
        </w:rPr>
        <w:t>个，其中行政单位</w:t>
      </w:r>
      <w:r>
        <w:rPr>
          <w:rFonts w:eastAsia="仿宋_GB2312" w:cs="仿宋_GB2312"/>
          <w:sz w:val="32"/>
          <w:szCs w:val="32"/>
        </w:rPr>
        <w:t>0</w:t>
      </w:r>
      <w:r>
        <w:rPr>
          <w:rFonts w:hint="eastAsia" w:eastAsia="仿宋_GB2312" w:cs="仿宋_GB2312"/>
          <w:sz w:val="32"/>
          <w:szCs w:val="32"/>
        </w:rPr>
        <w:t>个，参照公务员法管理的事业单位</w:t>
      </w:r>
      <w:r>
        <w:rPr>
          <w:rFonts w:eastAsia="仿宋_GB2312" w:cs="仿宋_GB2312"/>
          <w:bCs/>
          <w:sz w:val="32"/>
          <w:szCs w:val="32"/>
        </w:rPr>
        <w:t>0</w:t>
      </w:r>
      <w:r>
        <w:rPr>
          <w:rFonts w:hint="eastAsia" w:eastAsia="仿宋_GB2312" w:cs="仿宋_GB2312"/>
          <w:sz w:val="32"/>
          <w:szCs w:val="32"/>
        </w:rPr>
        <w:t>个，其他事业单位</w:t>
      </w:r>
      <w:r>
        <w:rPr>
          <w:rFonts w:eastAsia="仿宋_GB2312" w:cs="仿宋_GB2312"/>
          <w:sz w:val="32"/>
          <w:szCs w:val="32"/>
        </w:rPr>
        <w:t>0</w:t>
      </w:r>
      <w:r>
        <w:rPr>
          <w:rFonts w:hint="eastAsia" w:eastAsia="仿宋_GB2312" w:cs="仿宋_GB2312"/>
          <w:sz w:val="32"/>
          <w:szCs w:val="32"/>
        </w:rPr>
        <w:t>个。</w:t>
      </w:r>
    </w:p>
    <w:p w14:paraId="7603E83D">
      <w:pPr>
        <w:widowControl/>
        <w:jc w:val="left"/>
        <w:rPr>
          <w:rFonts w:eastAsia="仿宋"/>
          <w:kern w:val="0"/>
          <w:sz w:val="32"/>
          <w:szCs w:val="32"/>
        </w:rPr>
      </w:pPr>
      <w:r>
        <w:rPr>
          <w:rFonts w:eastAsia="仿宋"/>
          <w:sz w:val="32"/>
          <w:szCs w:val="32"/>
        </w:rPr>
        <w:br w:type="page"/>
      </w:r>
    </w:p>
    <w:p w14:paraId="0CA11CB0">
      <w:pPr>
        <w:pStyle w:val="5"/>
        <w:jc w:val="center"/>
        <w:rPr>
          <w:rFonts w:eastAsia="方正小标宋简体" w:cs="方正小标宋简体"/>
          <w:b w:val="0"/>
        </w:rPr>
      </w:pPr>
      <w:bookmarkStart w:id="18" w:name="_Toc15377204"/>
      <w:bookmarkStart w:id="19" w:name="_Toc15396602"/>
      <w:r>
        <w:rPr>
          <w:rFonts w:hint="eastAsia" w:eastAsia="方正小标宋简体" w:cs="方正小标宋简体"/>
          <w:b w:val="0"/>
        </w:rPr>
        <w:t>第二部分</w:t>
      </w:r>
      <w:r>
        <w:rPr>
          <w:rFonts w:eastAsia="方正小标宋简体" w:cs="方正小标宋简体"/>
          <w:b w:val="0"/>
        </w:rPr>
        <w:t xml:space="preserve">  2024</w:t>
      </w:r>
      <w:r>
        <w:rPr>
          <w:rFonts w:hint="eastAsia" w:eastAsia="方正小标宋简体" w:cs="方正小标宋简体"/>
          <w:b w:val="0"/>
        </w:rPr>
        <w:t>年度单位决算情况说明</w:t>
      </w:r>
      <w:bookmarkEnd w:id="18"/>
      <w:bookmarkEnd w:id="19"/>
    </w:p>
    <w:p w14:paraId="7B4832DA"/>
    <w:p w14:paraId="6A95DB14">
      <w:pPr>
        <w:pStyle w:val="35"/>
        <w:spacing w:line="600" w:lineRule="exact"/>
        <w:ind w:firstLine="640"/>
        <w:outlineLvl w:val="1"/>
        <w:rPr>
          <w:rStyle w:val="21"/>
          <w:rFonts w:ascii="Times New Roman" w:hAnsi="Times New Roman" w:eastAsia="黑体"/>
          <w:b w:val="0"/>
        </w:rPr>
      </w:pPr>
      <w:bookmarkStart w:id="20" w:name="_Toc15396603"/>
      <w:bookmarkStart w:id="21" w:name="_Toc15377205"/>
      <w:r>
        <w:rPr>
          <w:rFonts w:hint="eastAsia" w:eastAsia="黑体"/>
          <w:sz w:val="32"/>
          <w:szCs w:val="32"/>
        </w:rPr>
        <w:t>一、收</w:t>
      </w:r>
      <w:r>
        <w:rPr>
          <w:rStyle w:val="21"/>
          <w:rFonts w:hint="eastAsia" w:ascii="Times New Roman" w:hAnsi="Times New Roman" w:eastAsia="黑体"/>
          <w:b w:val="0"/>
        </w:rPr>
        <w:t>入支出决算总体情况说明</w:t>
      </w:r>
      <w:bookmarkEnd w:id="20"/>
      <w:bookmarkEnd w:id="21"/>
    </w:p>
    <w:p w14:paraId="4242F1A5">
      <w:pPr>
        <w:pStyle w:val="35"/>
        <w:spacing w:line="600" w:lineRule="exact"/>
        <w:outlineLvl w:val="1"/>
        <w:rPr>
          <w:rFonts w:eastAsia="仿宋_GB2312" w:cs="仿宋_GB2312"/>
          <w:sz w:val="32"/>
          <w:szCs w:val="32"/>
        </w:rPr>
      </w:pPr>
      <w:bookmarkStart w:id="22" w:name="OLE_LINK1"/>
      <w:r>
        <w:pict>
          <v:shape id="图表 1" o:spid="_x0000_s1026" o:spt="75" type="#_x0000_t75" style="position:absolute;left:0pt;margin-top:155.05pt;height:216.5pt;width:381.6pt;mso-position-horizontal:center;mso-position-horizontal-relative:margin;mso-wrap-distance-bottom:0pt;mso-wrap-distance-left:9pt;mso-wrap-distance-right:9pt;mso-wrap-distance-top:0pt;z-index:251659264;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">
            <v:path/>
            <v:fill on="f" focussize="0,0"/>
            <v:stroke on="f" joinstyle="miter"/>
            <v:imagedata r:id="rId8" o:title=""/>
            <o:lock v:ext="edit" aspectratio="f"/>
            <w10:wrap type="square"/>
          </v:shape>
        </w:pict>
      </w:r>
      <w:r>
        <w:rPr>
          <w:rFonts w:eastAsia="仿宋_GB2312" w:cs="仿宋_GB2312"/>
          <w:sz w:val="32"/>
          <w:szCs w:val="32"/>
        </w:rPr>
        <w:t>2024</w:t>
      </w:r>
      <w:r>
        <w:rPr>
          <w:rFonts w:hint="eastAsia" w:eastAsia="仿宋_GB2312" w:cs="仿宋_GB2312"/>
          <w:sz w:val="32"/>
          <w:szCs w:val="32"/>
        </w:rPr>
        <w:t>年度收入、支出总计均为</w:t>
      </w:r>
      <w:r>
        <w:rPr>
          <w:rFonts w:ascii="仿宋_GB2312" w:hAnsi="仿宋_GB2312" w:eastAsia="仿宋_GB2312" w:cs="仿宋_GB2312"/>
          <w:sz w:val="32"/>
          <w:szCs w:val="32"/>
        </w:rPr>
        <w:t>605.49</w:t>
      </w:r>
      <w:r>
        <w:rPr>
          <w:rFonts w:hint="eastAsia" w:eastAsia="仿宋_GB2312" w:cs="仿宋_GB2312"/>
          <w:sz w:val="32"/>
          <w:szCs w:val="32"/>
        </w:rPr>
        <w:t>万元。与</w:t>
      </w:r>
      <w:r>
        <w:rPr>
          <w:rFonts w:eastAsia="仿宋_GB2312" w:cs="仿宋_GB2312"/>
          <w:sz w:val="32"/>
          <w:szCs w:val="32"/>
        </w:rPr>
        <w:t>2023</w:t>
      </w:r>
      <w:r>
        <w:rPr>
          <w:rFonts w:hint="eastAsia" w:eastAsia="仿宋_GB2312" w:cs="仿宋_GB2312"/>
          <w:sz w:val="32"/>
          <w:szCs w:val="32"/>
        </w:rPr>
        <w:t>年度相比，收入、支出总计各减少</w:t>
      </w:r>
      <w:r>
        <w:rPr>
          <w:rFonts w:eastAsia="仿宋_GB2312" w:cs="仿宋_GB2312"/>
          <w:sz w:val="32"/>
          <w:szCs w:val="32"/>
        </w:rPr>
        <w:t>37.19</w:t>
      </w:r>
      <w:r>
        <w:rPr>
          <w:rFonts w:hint="eastAsia" w:eastAsia="仿宋_GB2312" w:cs="仿宋_GB2312"/>
          <w:sz w:val="32"/>
          <w:szCs w:val="32"/>
        </w:rPr>
        <w:t>万元，下降</w:t>
      </w:r>
      <w:r>
        <w:rPr>
          <w:rFonts w:eastAsia="仿宋_GB2312" w:cs="仿宋_GB2312"/>
          <w:sz w:val="32"/>
          <w:szCs w:val="32"/>
        </w:rPr>
        <w:t>5.79%</w:t>
      </w:r>
      <w:r>
        <w:rPr>
          <w:rFonts w:hint="eastAsia" w:eastAsia="仿宋_GB2312" w:cs="仿宋_GB2312"/>
          <w:sz w:val="32"/>
          <w:szCs w:val="32"/>
        </w:rPr>
        <w:t>。主要变动原因是政府集中采购项目减少，专家评审费支出减少，土地交易手续费增值税由</w:t>
      </w:r>
      <w:r>
        <w:rPr>
          <w:rFonts w:eastAsia="仿宋_GB2312" w:cs="仿宋_GB2312"/>
          <w:sz w:val="32"/>
          <w:szCs w:val="32"/>
        </w:rPr>
        <w:t>3</w:t>
      </w:r>
      <w:r>
        <w:rPr>
          <w:rFonts w:hint="eastAsia" w:ascii="宋体" w:hAnsi="宋体" w:cs="宋体"/>
          <w:sz w:val="32"/>
          <w:szCs w:val="32"/>
        </w:rPr>
        <w:t>﹪</w:t>
      </w:r>
      <w:r>
        <w:rPr>
          <w:rFonts w:hint="eastAsia" w:ascii="仿宋_GB2312" w:hAnsi="仿宋_GB2312" w:eastAsia="仿宋_GB2312" w:cs="仿宋_GB2312"/>
          <w:sz w:val="32"/>
          <w:szCs w:val="32"/>
        </w:rPr>
        <w:t>调整为</w:t>
      </w:r>
      <w:r>
        <w:rPr>
          <w:rFonts w:eastAsia="仿宋_GB2312" w:cs="仿宋_GB2312"/>
          <w:sz w:val="32"/>
          <w:szCs w:val="32"/>
        </w:rPr>
        <w:t>1%</w:t>
      </w:r>
      <w:r>
        <w:rPr>
          <w:rFonts w:hint="eastAsia" w:eastAsia="仿宋_GB2312" w:cs="仿宋_GB2312"/>
          <w:sz w:val="32"/>
          <w:szCs w:val="32"/>
        </w:rPr>
        <w:t>导致税金减少，厉行节俭等。</w:t>
      </w:r>
    </w:p>
    <w:bookmarkEnd w:id="22"/>
    <w:p w14:paraId="55E55CBC">
      <w:pPr>
        <w:ind w:firstLine="640" w:firstLineChars="20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1</w:t>
      </w:r>
      <w:r>
        <w:rPr>
          <w:rFonts w:hint="eastAsia" w:eastAsia="仿宋_GB2312" w:cs="仿宋_GB2312"/>
          <w:sz w:val="32"/>
          <w:szCs w:val="32"/>
        </w:rPr>
        <w:t>：收入、支出决算总计变动情况图）</w:t>
      </w:r>
    </w:p>
    <w:p w14:paraId="5E118FC0">
      <w:pPr>
        <w:pStyle w:val="3"/>
        <w:ind w:left="420"/>
      </w:pPr>
    </w:p>
    <w:p w14:paraId="6BD70BDC">
      <w:pPr>
        <w:pStyle w:val="35"/>
        <w:spacing w:line="600" w:lineRule="exact"/>
        <w:ind w:firstLine="640"/>
        <w:outlineLvl w:val="1"/>
        <w:rPr>
          <w:rFonts w:eastAsia="黑体"/>
          <w:sz w:val="32"/>
          <w:szCs w:val="32"/>
        </w:rPr>
      </w:pPr>
      <w:bookmarkStart w:id="23" w:name="_Toc15377206"/>
      <w:bookmarkStart w:id="24" w:name="_Toc15396604"/>
      <w:r>
        <w:rPr>
          <w:rFonts w:hint="eastAsia" w:eastAsia="黑体"/>
          <w:sz w:val="32"/>
          <w:szCs w:val="32"/>
        </w:rPr>
        <w:t>二、收入决算情况说明</w:t>
      </w:r>
      <w:bookmarkEnd w:id="23"/>
      <w:bookmarkEnd w:id="24"/>
    </w:p>
    <w:p w14:paraId="65697742">
      <w:pPr>
        <w:pStyle w:val="35"/>
        <w:spacing w:line="600" w:lineRule="exact"/>
        <w:ind w:firstLine="640"/>
        <w:jc w:val="left"/>
        <w:outlineLvl w:val="1"/>
        <w:rPr>
          <w:rFonts w:ascii="仿宋_GB2312" w:hAnsi="仿宋_GB2312"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年度本年收入合计</w:t>
      </w:r>
      <w:r>
        <w:rPr>
          <w:rFonts w:ascii="仿宋_GB2312" w:hAnsi="仿宋_GB2312" w:eastAsia="仿宋_GB2312" w:cs="仿宋_GB2312"/>
          <w:sz w:val="32"/>
          <w:szCs w:val="32"/>
        </w:rPr>
        <w:t>605.49</w:t>
      </w:r>
      <w:r>
        <w:rPr>
          <w:rFonts w:hint="eastAsia" w:ascii="仿宋_GB2312" w:hAnsi="仿宋_GB2312" w:eastAsia="仿宋_GB2312" w:cs="仿宋_GB2312"/>
          <w:sz w:val="32"/>
          <w:szCs w:val="32"/>
        </w:rPr>
        <w:t>万元，其中：一般公共预算财政拨款收入</w:t>
      </w:r>
      <w:r>
        <w:rPr>
          <w:rFonts w:ascii="仿宋_GB2312" w:hAnsi="仿宋_GB2312" w:eastAsia="仿宋_GB2312" w:cs="仿宋_GB2312"/>
          <w:sz w:val="32"/>
          <w:szCs w:val="32"/>
        </w:rPr>
        <w:t>605.49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14:paraId="597E3F5B">
      <w:pPr>
        <w:pStyle w:val="35"/>
        <w:spacing w:line="600" w:lineRule="exact"/>
        <w:ind w:firstLine="643"/>
        <w:jc w:val="left"/>
        <w:outlineLvl w:val="1"/>
        <w:rPr>
          <w:rFonts w:eastAsia="仿宋_GB2312" w:cs="仿宋_GB2312"/>
          <w:b/>
          <w:bCs/>
          <w:sz w:val="32"/>
          <w:szCs w:val="32"/>
        </w:rPr>
      </w:pPr>
    </w:p>
    <w:p w14:paraId="09A39BF9">
      <w:pPr>
        <w:ind w:firstLine="800" w:firstLineChars="250"/>
        <w:rPr>
          <w:rFonts w:eastAsia="仿宋_GB2312" w:cs="仿宋_GB2312"/>
          <w:sz w:val="32"/>
          <w:szCs w:val="32"/>
        </w:rPr>
      </w:pPr>
    </w:p>
    <w:p w14:paraId="7BA8061E">
      <w:pPr>
        <w:pStyle w:val="2"/>
      </w:pPr>
      <w:r>
        <w:pict>
          <v:shape id="_x0000_i1025" o:spt="75" type="#_x0000_t75" style="height:216.75pt;width:381pt;" filled="f" o:preferrelative="t" stroked="f" coordsize="21600,21600">
            <v:path/>
            <v:fill on="f" focussize="0,0"/>
            <v:stroke on="f" joinstyle="miter"/>
            <v:imagedata r:id="rId9" o:title=""/>
            <o:lock v:ext="edit" aspectratio="t"/>
            <w10:wrap type="none"/>
            <w10:anchorlock/>
          </v:shape>
        </w:pict>
      </w:r>
    </w:p>
    <w:p w14:paraId="0BAF76C0">
      <w:pPr>
        <w:pStyle w:val="2"/>
      </w:pPr>
    </w:p>
    <w:p w14:paraId="2DD7EDAB">
      <w:pPr>
        <w:ind w:firstLine="800" w:firstLineChars="25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2</w:t>
      </w:r>
      <w:r>
        <w:rPr>
          <w:rFonts w:hint="eastAsia" w:eastAsia="仿宋_GB2312" w:cs="仿宋_GB2312"/>
          <w:sz w:val="32"/>
          <w:szCs w:val="32"/>
        </w:rPr>
        <w:t>：收入决算结构图）</w:t>
      </w:r>
    </w:p>
    <w:p w14:paraId="49D298E3">
      <w:pPr>
        <w:ind w:firstLine="800" w:firstLineChars="250"/>
        <w:rPr>
          <w:rFonts w:eastAsia="仿宋_GB2312" w:cs="仿宋_GB2312"/>
          <w:sz w:val="32"/>
          <w:szCs w:val="32"/>
        </w:rPr>
      </w:pPr>
    </w:p>
    <w:p w14:paraId="60EEDA7E">
      <w:pPr>
        <w:pStyle w:val="35"/>
        <w:spacing w:line="600" w:lineRule="exact"/>
        <w:ind w:firstLine="640"/>
        <w:outlineLvl w:val="1"/>
        <w:rPr>
          <w:rStyle w:val="21"/>
          <w:rFonts w:ascii="Times New Roman" w:hAnsi="Times New Roman" w:eastAsia="黑体"/>
          <w:b w:val="0"/>
        </w:rPr>
      </w:pPr>
      <w:bookmarkStart w:id="25" w:name="_Toc15396605"/>
      <w:bookmarkStart w:id="26" w:name="_Toc15377207"/>
      <w:r>
        <w:rPr>
          <w:rFonts w:hint="eastAsia" w:eastAsia="黑体"/>
          <w:sz w:val="32"/>
          <w:szCs w:val="32"/>
        </w:rPr>
        <w:t>三、支</w:t>
      </w:r>
      <w:r>
        <w:rPr>
          <w:rStyle w:val="21"/>
          <w:rFonts w:hint="eastAsia" w:ascii="Times New Roman" w:hAnsi="Times New Roman" w:eastAsia="黑体"/>
          <w:b w:val="0"/>
        </w:rPr>
        <w:t>出决算情况说明</w:t>
      </w:r>
      <w:bookmarkEnd w:id="25"/>
      <w:bookmarkEnd w:id="26"/>
    </w:p>
    <w:p w14:paraId="45367901">
      <w:pPr>
        <w:pStyle w:val="35"/>
        <w:spacing w:line="600" w:lineRule="exact"/>
        <w:ind w:firstLine="640"/>
        <w:jc w:val="left"/>
        <w:outlineLvl w:val="1"/>
        <w:rPr>
          <w:rFonts w:ascii="仿宋_GB2312" w:hAnsi="仿宋_GB2312"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年度本年支出合计</w:t>
      </w:r>
      <w:r>
        <w:rPr>
          <w:rFonts w:ascii="仿宋_GB2312" w:hAnsi="仿宋_GB2312" w:eastAsia="仿宋_GB2312" w:cs="仿宋_GB2312"/>
          <w:sz w:val="32"/>
          <w:szCs w:val="32"/>
        </w:rPr>
        <w:t>605.49</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351.45</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58.04%</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254.03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41.95%</w:t>
      </w:r>
      <w:r>
        <w:rPr>
          <w:rFonts w:hint="eastAsia" w:ascii="仿宋_GB2312" w:hAnsi="仿宋_GB2312" w:eastAsia="仿宋_GB2312" w:cs="仿宋_GB2312"/>
          <w:sz w:val="32"/>
          <w:szCs w:val="32"/>
        </w:rPr>
        <w:t>。</w:t>
      </w:r>
    </w:p>
    <w:p w14:paraId="04939E83">
      <w:pPr>
        <w:pStyle w:val="35"/>
        <w:spacing w:line="600" w:lineRule="exact"/>
        <w:ind w:firstLine="640"/>
        <w:jc w:val="left"/>
        <w:outlineLvl w:val="1"/>
        <w:rPr>
          <w:rFonts w:eastAsia="仿宋_GB2312" w:cs="仿宋_GB2312"/>
          <w:sz w:val="32"/>
          <w:szCs w:val="32"/>
        </w:rPr>
      </w:pPr>
    </w:p>
    <w:p w14:paraId="29E2AD6B">
      <w:pPr>
        <w:pStyle w:val="35"/>
        <w:spacing w:line="600" w:lineRule="exact"/>
        <w:ind w:firstLine="640"/>
        <w:jc w:val="left"/>
        <w:outlineLvl w:val="1"/>
        <w:rPr>
          <w:rFonts w:eastAsia="仿宋_GB2312" w:cs="仿宋_GB2312"/>
          <w:sz w:val="32"/>
          <w:szCs w:val="32"/>
        </w:rPr>
      </w:pPr>
    </w:p>
    <w:p w14:paraId="5E381F5B">
      <w:pPr>
        <w:ind w:firstLine="6720" w:firstLineChars="3200"/>
        <w:rPr>
          <w:rFonts w:eastAsia="仿宋_GB2312" w:cs="仿宋_GB2312"/>
          <w:sz w:val="32"/>
          <w:szCs w:val="32"/>
        </w:rPr>
      </w:pPr>
      <w:r>
        <w:pict>
          <v:shape id="图片 5" o:spid="_x0000_s1027" o:spt="75" type="#_x0000_t75" style="position:absolute;left:0pt;margin-top:9.3pt;height:217pt;width:381pt;mso-position-horizontal:left;mso-position-horizontal-relative:margin;mso-wrap-distance-bottom:0pt;mso-wrap-distance-left:9pt;mso-wrap-distance-right:9pt;mso-wrap-distance-top:0pt;z-index:251660288;mso-width-relative:page;mso-height-relative:page;" filled="f" o:preferrelative="t" stroked="f" coordsize="21600,21600">
            <v:path/>
            <v:fill on="f" focussize="0,0"/>
            <v:stroke on="f" joinstyle="miter"/>
            <v:imagedata r:id="rId10" o:title=""/>
            <o:lock v:ext="edit" aspectratio="t"/>
            <w10:wrap type="square"/>
          </v:shape>
        </w:pict>
      </w:r>
      <w:r>
        <w:rPr>
          <w:rFonts w:hint="eastAsia" w:eastAsia="仿宋_GB2312" w:cs="仿宋_GB2312"/>
          <w:sz w:val="32"/>
          <w:szCs w:val="32"/>
        </w:rPr>
        <w:t>（</w:t>
      </w:r>
      <w:r>
        <w:rPr>
          <w:rFonts w:eastAsia="仿宋_GB2312" w:cs="仿宋_GB2312"/>
          <w:sz w:val="32"/>
          <w:szCs w:val="32"/>
        </w:rPr>
        <w:t xml:space="preserve">  </w:t>
      </w:r>
    </w:p>
    <w:p w14:paraId="590099EA">
      <w:pPr>
        <w:ind w:firstLine="10240" w:firstLineChars="3200"/>
        <w:rPr>
          <w:rFonts w:eastAsia="仿宋_GB2312" w:cs="仿宋_GB2312"/>
          <w:sz w:val="32"/>
          <w:szCs w:val="32"/>
        </w:rPr>
      </w:pPr>
    </w:p>
    <w:p w14:paraId="100348B5">
      <w:pPr>
        <w:ind w:firstLine="10240" w:firstLineChars="3200"/>
        <w:rPr>
          <w:rFonts w:eastAsia="仿宋_GB2312" w:cs="仿宋_GB2312"/>
          <w:sz w:val="32"/>
          <w:szCs w:val="32"/>
        </w:rPr>
      </w:pPr>
    </w:p>
    <w:p w14:paraId="09513B3C">
      <w:pPr>
        <w:ind w:firstLine="10240" w:firstLineChars="3200"/>
        <w:rPr>
          <w:rFonts w:eastAsia="仿宋_GB2312" w:cs="仿宋_GB2312"/>
          <w:sz w:val="32"/>
          <w:szCs w:val="32"/>
        </w:rPr>
      </w:pPr>
    </w:p>
    <w:p w14:paraId="7C42AD80">
      <w:pPr>
        <w:ind w:firstLine="10240" w:firstLineChars="3200"/>
        <w:rPr>
          <w:rFonts w:eastAsia="仿宋_GB2312" w:cs="仿宋_GB2312"/>
          <w:sz w:val="32"/>
          <w:szCs w:val="32"/>
        </w:rPr>
      </w:pPr>
    </w:p>
    <w:p w14:paraId="39304337">
      <w:pPr>
        <w:ind w:firstLine="640" w:firstLineChars="20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3</w:t>
      </w:r>
      <w:r>
        <w:rPr>
          <w:rFonts w:hint="eastAsia" w:eastAsia="仿宋_GB2312" w:cs="仿宋_GB2312"/>
          <w:sz w:val="32"/>
          <w:szCs w:val="32"/>
        </w:rPr>
        <w:t>：支出决算结构图）</w:t>
      </w:r>
    </w:p>
    <w:p w14:paraId="08600ECF">
      <w:pPr>
        <w:spacing w:line="600" w:lineRule="exact"/>
        <w:ind w:firstLine="640" w:firstLineChars="200"/>
        <w:outlineLvl w:val="1"/>
        <w:rPr>
          <w:rStyle w:val="21"/>
          <w:rFonts w:ascii="Times New Roman" w:hAnsi="Times New Roman" w:eastAsia="黑体"/>
          <w:b w:val="0"/>
        </w:rPr>
      </w:pPr>
      <w:bookmarkStart w:id="27" w:name="_Toc15396606"/>
      <w:bookmarkStart w:id="28" w:name="_Toc15377208"/>
      <w:r>
        <w:rPr>
          <w:rFonts w:hint="eastAsia" w:eastAsia="黑体"/>
          <w:sz w:val="32"/>
          <w:szCs w:val="32"/>
        </w:rPr>
        <w:t>四、财</w:t>
      </w:r>
      <w:r>
        <w:rPr>
          <w:rStyle w:val="21"/>
          <w:rFonts w:hint="eastAsia" w:ascii="Times New Roman" w:hAnsi="Times New Roman" w:eastAsia="黑体"/>
          <w:b w:val="0"/>
        </w:rPr>
        <w:t>政拨款收入支出决算总体情况说明</w:t>
      </w:r>
      <w:bookmarkEnd w:id="27"/>
      <w:bookmarkEnd w:id="28"/>
    </w:p>
    <w:p w14:paraId="6D0CD33F">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年度财政拨款收入、支出总计均为</w:t>
      </w:r>
      <w:r>
        <w:rPr>
          <w:rFonts w:ascii="仿宋_GB2312" w:hAnsi="仿宋_GB2312" w:eastAsia="仿宋_GB2312" w:cs="仿宋_GB2312"/>
          <w:sz w:val="32"/>
          <w:szCs w:val="32"/>
        </w:rPr>
        <w:t>605.49</w:t>
      </w:r>
      <w:r>
        <w:rPr>
          <w:rFonts w:hint="eastAsia" w:eastAsia="仿宋_GB2312" w:cs="仿宋_GB2312"/>
          <w:sz w:val="32"/>
          <w:szCs w:val="32"/>
        </w:rPr>
        <w:t>万元。与</w:t>
      </w:r>
      <w:r>
        <w:rPr>
          <w:rFonts w:eastAsia="仿宋_GB2312" w:cs="仿宋_GB2312"/>
          <w:sz w:val="32"/>
          <w:szCs w:val="32"/>
        </w:rPr>
        <w:t>2023</w:t>
      </w:r>
      <w:r>
        <w:rPr>
          <w:rFonts w:hint="eastAsia" w:eastAsia="仿宋_GB2312" w:cs="仿宋_GB2312"/>
          <w:sz w:val="32"/>
          <w:szCs w:val="32"/>
        </w:rPr>
        <w:t>年度相比，财政拨款收入总计、支出总计各减少</w:t>
      </w:r>
      <w:r>
        <w:rPr>
          <w:rFonts w:eastAsia="仿宋_GB2312" w:cs="仿宋_GB2312"/>
          <w:sz w:val="32"/>
          <w:szCs w:val="32"/>
        </w:rPr>
        <w:t>37.19</w:t>
      </w:r>
      <w:r>
        <w:rPr>
          <w:rFonts w:hint="eastAsia" w:eastAsia="仿宋_GB2312" w:cs="仿宋_GB2312"/>
          <w:sz w:val="32"/>
          <w:szCs w:val="32"/>
        </w:rPr>
        <w:t>万元，下降</w:t>
      </w:r>
      <w:r>
        <w:rPr>
          <w:rFonts w:eastAsia="仿宋_GB2312" w:cs="仿宋_GB2312"/>
          <w:sz w:val="32"/>
          <w:szCs w:val="32"/>
        </w:rPr>
        <w:t>5.79%</w:t>
      </w:r>
      <w:r>
        <w:rPr>
          <w:rFonts w:hint="eastAsia" w:eastAsia="仿宋_GB2312" w:cs="仿宋_GB2312"/>
          <w:sz w:val="32"/>
          <w:szCs w:val="32"/>
        </w:rPr>
        <w:t>。主要变动原因是政府集中采购项目减少，专家评审费支出减少，土地交易手续费增值税由</w:t>
      </w:r>
      <w:r>
        <w:rPr>
          <w:rFonts w:eastAsia="仿宋_GB2312" w:cs="仿宋_GB2312"/>
          <w:sz w:val="32"/>
          <w:szCs w:val="32"/>
        </w:rPr>
        <w:t>3</w:t>
      </w:r>
      <w:r>
        <w:rPr>
          <w:rFonts w:hint="eastAsia" w:ascii="宋体" w:hAnsi="宋体" w:cs="宋体"/>
          <w:sz w:val="32"/>
          <w:szCs w:val="32"/>
        </w:rPr>
        <w:t>﹪</w:t>
      </w:r>
      <w:r>
        <w:rPr>
          <w:rFonts w:hint="eastAsia" w:ascii="仿宋_GB2312" w:hAnsi="仿宋_GB2312" w:eastAsia="仿宋_GB2312" w:cs="仿宋_GB2312"/>
          <w:sz w:val="32"/>
          <w:szCs w:val="32"/>
        </w:rPr>
        <w:t>调整为</w:t>
      </w:r>
      <w:r>
        <w:rPr>
          <w:rFonts w:eastAsia="仿宋_GB2312" w:cs="仿宋_GB2312"/>
          <w:sz w:val="32"/>
          <w:szCs w:val="32"/>
        </w:rPr>
        <w:t>1%</w:t>
      </w:r>
      <w:r>
        <w:rPr>
          <w:rFonts w:hint="eastAsia" w:eastAsia="仿宋_GB2312" w:cs="仿宋_GB2312"/>
          <w:sz w:val="32"/>
          <w:szCs w:val="32"/>
        </w:rPr>
        <w:t>导致税金减少，厉行节俭等。</w:t>
      </w:r>
    </w:p>
    <w:p w14:paraId="7ACBB9D0">
      <w:pPr>
        <w:pStyle w:val="3"/>
        <w:ind w:left="420"/>
        <w:jc w:val="center"/>
      </w:pPr>
      <w:r>
        <w:pict>
          <v:shape id="_x0000_i1026" o:spt="75" type="#_x0000_t75" style="height:216.75pt;width:381.7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">
            <v:path/>
            <v:fill on="f" focussize="0,0"/>
            <v:stroke on="f" joinstyle="miter"/>
            <v:imagedata r:id="rId11" o:title=""/>
            <o:lock v:ext="edit" aspectratio="f"/>
            <w10:wrap type="none"/>
            <w10:anchorlock/>
          </v:shape>
        </w:pict>
      </w:r>
    </w:p>
    <w:p w14:paraId="63F376E0">
      <w:pPr>
        <w:spacing w:line="600" w:lineRule="exact"/>
        <w:ind w:firstLine="640" w:firstLineChars="20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4</w:t>
      </w:r>
      <w:r>
        <w:rPr>
          <w:rFonts w:hint="eastAsia" w:eastAsia="仿宋_GB2312" w:cs="仿宋_GB2312"/>
          <w:sz w:val="32"/>
          <w:szCs w:val="32"/>
        </w:rPr>
        <w:t>：财政拨款收、支决算总计变动情况）</w:t>
      </w:r>
    </w:p>
    <w:p w14:paraId="480C79D0">
      <w:pPr>
        <w:spacing w:line="600" w:lineRule="exact"/>
        <w:ind w:firstLine="640"/>
        <w:rPr>
          <w:rFonts w:eastAsia="仿宋_GB2312" w:cs="仿宋_GB2312"/>
          <w:sz w:val="32"/>
          <w:szCs w:val="32"/>
        </w:rPr>
      </w:pPr>
    </w:p>
    <w:p w14:paraId="3EE2FFA9">
      <w:pPr>
        <w:spacing w:line="600" w:lineRule="exact"/>
        <w:ind w:firstLine="640" w:firstLineChars="200"/>
        <w:outlineLvl w:val="1"/>
        <w:rPr>
          <w:rStyle w:val="21"/>
          <w:rFonts w:ascii="Times New Roman" w:hAnsi="Times New Roman" w:eastAsia="黑体"/>
          <w:b w:val="0"/>
        </w:rPr>
      </w:pPr>
      <w:bookmarkStart w:id="29" w:name="_Toc15396607"/>
      <w:bookmarkStart w:id="30" w:name="_Toc15377209"/>
      <w:r>
        <w:rPr>
          <w:rFonts w:hint="eastAsia" w:eastAsia="黑体"/>
          <w:sz w:val="32"/>
          <w:szCs w:val="32"/>
        </w:rPr>
        <w:t>五、</w:t>
      </w:r>
      <w:r>
        <w:rPr>
          <w:rFonts w:hint="eastAsia" w:eastAsia="黑体"/>
          <w:b/>
          <w:sz w:val="32"/>
          <w:szCs w:val="32"/>
        </w:rPr>
        <w:t>一</w:t>
      </w:r>
      <w:r>
        <w:rPr>
          <w:rStyle w:val="21"/>
          <w:rFonts w:hint="eastAsia" w:ascii="Times New Roman" w:hAnsi="Times New Roman" w:eastAsia="黑体"/>
          <w:b w:val="0"/>
        </w:rPr>
        <w:t>般公共预算财政拨款支出决算情况说明</w:t>
      </w:r>
      <w:bookmarkEnd w:id="29"/>
      <w:bookmarkEnd w:id="30"/>
    </w:p>
    <w:p w14:paraId="080215E1">
      <w:pPr>
        <w:spacing w:line="600" w:lineRule="exact"/>
        <w:ind w:firstLine="643" w:firstLineChars="200"/>
        <w:outlineLvl w:val="2"/>
        <w:rPr>
          <w:rFonts w:eastAsia="楷体_GB2312" w:cs="楷体_GB2312"/>
          <w:b/>
          <w:sz w:val="32"/>
          <w:szCs w:val="32"/>
        </w:rPr>
      </w:pPr>
      <w:bookmarkStart w:id="31" w:name="_Toc15377210"/>
      <w:r>
        <w:rPr>
          <w:rFonts w:hint="eastAsia" w:eastAsia="楷体_GB2312" w:cs="楷体_GB2312"/>
          <w:b/>
          <w:sz w:val="32"/>
          <w:szCs w:val="32"/>
        </w:rPr>
        <w:t>（一）一般公共预算财政拨款支出决算总体情况</w:t>
      </w:r>
      <w:bookmarkEnd w:id="31"/>
    </w:p>
    <w:p w14:paraId="7D6BBEF7">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年度一般公共预算财政拨款支出</w:t>
      </w:r>
      <w:r>
        <w:rPr>
          <w:rFonts w:ascii="仿宋_GB2312" w:hAnsi="仿宋_GB2312" w:eastAsia="仿宋_GB2312" w:cs="仿宋_GB2312"/>
          <w:sz w:val="32"/>
          <w:szCs w:val="32"/>
        </w:rPr>
        <w:t>605.49</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年度相比，一般公共预算财政拨款支出减少</w:t>
      </w:r>
      <w:r>
        <w:rPr>
          <w:rFonts w:ascii="仿宋_GB2312" w:hAnsi="仿宋_GB2312" w:eastAsia="仿宋_GB2312" w:cs="仿宋_GB2312"/>
          <w:sz w:val="32"/>
          <w:szCs w:val="32"/>
        </w:rPr>
        <w:t>37.19</w:t>
      </w:r>
      <w:r>
        <w:rPr>
          <w:rFonts w:hint="eastAsia" w:ascii="仿宋_GB2312" w:hAnsi="仿宋_GB2312" w:eastAsia="仿宋_GB2312" w:cs="仿宋_GB2312"/>
          <w:sz w:val="32"/>
          <w:szCs w:val="32"/>
        </w:rPr>
        <w:t>万元，下降</w:t>
      </w:r>
      <w:r>
        <w:rPr>
          <w:rFonts w:ascii="仿宋_GB2312" w:hAnsi="仿宋_GB2312" w:eastAsia="仿宋_GB2312" w:cs="仿宋_GB2312"/>
          <w:sz w:val="32"/>
          <w:szCs w:val="32"/>
        </w:rPr>
        <w:t>5.79%</w:t>
      </w:r>
      <w:r>
        <w:rPr>
          <w:rFonts w:hint="eastAsia" w:ascii="仿宋_GB2312" w:hAnsi="仿宋_GB2312" w:eastAsia="仿宋_GB2312" w:cs="仿宋_GB2312"/>
          <w:sz w:val="32"/>
          <w:szCs w:val="32"/>
        </w:rPr>
        <w:t>。主要变动原因是</w:t>
      </w:r>
      <w:r>
        <w:rPr>
          <w:rFonts w:hint="eastAsia" w:eastAsia="仿宋_GB2312" w:cs="仿宋_GB2312"/>
          <w:sz w:val="32"/>
          <w:szCs w:val="32"/>
        </w:rPr>
        <w:t>政府集中采购项目减少，专家评审费支出减少，土地交易手续费增值税由</w:t>
      </w:r>
      <w:r>
        <w:rPr>
          <w:rFonts w:eastAsia="仿宋_GB2312" w:cs="仿宋_GB2312"/>
          <w:sz w:val="32"/>
          <w:szCs w:val="32"/>
        </w:rPr>
        <w:t>3</w:t>
      </w:r>
      <w:r>
        <w:rPr>
          <w:rFonts w:hint="eastAsia" w:ascii="宋体" w:hAnsi="宋体" w:cs="宋体"/>
          <w:sz w:val="32"/>
          <w:szCs w:val="32"/>
        </w:rPr>
        <w:t>﹪</w:t>
      </w:r>
      <w:r>
        <w:rPr>
          <w:rFonts w:hint="eastAsia" w:ascii="仿宋_GB2312" w:hAnsi="仿宋_GB2312" w:eastAsia="仿宋_GB2312" w:cs="仿宋_GB2312"/>
          <w:sz w:val="32"/>
          <w:szCs w:val="32"/>
        </w:rPr>
        <w:t>调整为</w:t>
      </w:r>
      <w:r>
        <w:rPr>
          <w:rFonts w:eastAsia="仿宋_GB2312" w:cs="仿宋_GB2312"/>
          <w:sz w:val="32"/>
          <w:szCs w:val="32"/>
        </w:rPr>
        <w:t>1%</w:t>
      </w:r>
      <w:r>
        <w:rPr>
          <w:rFonts w:hint="eastAsia" w:eastAsia="仿宋_GB2312" w:cs="仿宋_GB2312"/>
          <w:sz w:val="32"/>
          <w:szCs w:val="32"/>
        </w:rPr>
        <w:t>导致税金减少，厉行节俭等。</w:t>
      </w:r>
    </w:p>
    <w:p w14:paraId="1C3E3B81">
      <w:pPr>
        <w:pStyle w:val="2"/>
      </w:pPr>
      <w:r>
        <w:pict>
          <v:shape id="_x0000_s1028" o:spid="_x0000_s1028" o:spt="75" type="#_x0000_t75" style="position:absolute;left:0pt;margin-left:15.75pt;margin-top:79.2pt;height:216.5pt;width:381.6pt;mso-wrap-distance-bottom:0pt;mso-wrap-distance-left:9pt;mso-wrap-distance-right:9pt;mso-wrap-distance-top:0pt;z-index:251661312;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">
            <v:path/>
            <v:fill on="f" focussize="0,0"/>
            <v:stroke on="f" joinstyle="miter"/>
            <v:imagedata r:id="rId12" o:title=""/>
            <o:lock v:ext="edit" aspectratio="f"/>
            <w10:wrap type="square"/>
          </v:shape>
        </w:pict>
      </w:r>
    </w:p>
    <w:p w14:paraId="3A2DB391">
      <w:pPr>
        <w:spacing w:line="600" w:lineRule="exact"/>
        <w:ind w:firstLine="640"/>
        <w:rPr>
          <w:rFonts w:eastAsia="仿宋_GB2312" w:cs="仿宋_GB2312"/>
          <w:sz w:val="32"/>
          <w:szCs w:val="32"/>
        </w:rPr>
      </w:pPr>
    </w:p>
    <w:p w14:paraId="1319FC07">
      <w:pPr>
        <w:pStyle w:val="2"/>
      </w:pPr>
    </w:p>
    <w:p w14:paraId="2A15CD38">
      <w:pPr>
        <w:spacing w:line="600" w:lineRule="exact"/>
        <w:ind w:firstLine="64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5</w:t>
      </w:r>
      <w:r>
        <w:rPr>
          <w:rFonts w:hint="eastAsia" w:eastAsia="仿宋_GB2312" w:cs="仿宋_GB2312"/>
          <w:sz w:val="32"/>
          <w:szCs w:val="32"/>
        </w:rPr>
        <w:t>：一般公共预算财政拨款支出决算变动情况）</w:t>
      </w:r>
    </w:p>
    <w:p w14:paraId="65F6915F">
      <w:pPr>
        <w:spacing w:line="600" w:lineRule="exact"/>
        <w:ind w:firstLine="640"/>
        <w:rPr>
          <w:rFonts w:eastAsia="仿宋_GB2312" w:cs="仿宋_GB2312"/>
          <w:sz w:val="32"/>
          <w:szCs w:val="32"/>
        </w:rPr>
      </w:pPr>
    </w:p>
    <w:p w14:paraId="5F9ABBFE">
      <w:pPr>
        <w:spacing w:line="600" w:lineRule="exact"/>
        <w:ind w:firstLine="643" w:firstLineChars="200"/>
        <w:outlineLvl w:val="2"/>
        <w:rPr>
          <w:rFonts w:eastAsia="楷体_GB2312" w:cs="楷体_GB2312"/>
          <w:b/>
          <w:sz w:val="32"/>
          <w:szCs w:val="32"/>
        </w:rPr>
      </w:pPr>
      <w:bookmarkStart w:id="32" w:name="_Toc15377211"/>
      <w:r>
        <w:rPr>
          <w:rFonts w:hint="eastAsia" w:eastAsia="楷体_GB2312" w:cs="楷体_GB2312"/>
          <w:b/>
          <w:sz w:val="32"/>
          <w:szCs w:val="32"/>
        </w:rPr>
        <w:t>（二）一般公共预算财政拨款支出决算结构情况</w:t>
      </w:r>
      <w:bookmarkEnd w:id="32"/>
    </w:p>
    <w:p w14:paraId="277CE536">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年度一般公共预算财政拨款支出</w:t>
      </w:r>
      <w:r>
        <w:rPr>
          <w:rFonts w:ascii="仿宋_GB2312" w:hAnsi="仿宋_GB2312" w:eastAsia="仿宋_GB2312" w:cs="仿宋_GB2312"/>
          <w:sz w:val="32"/>
          <w:szCs w:val="32"/>
        </w:rPr>
        <w:t>605.49</w:t>
      </w:r>
      <w:r>
        <w:rPr>
          <w:rFonts w:hint="eastAsia" w:ascii="仿宋_GB2312" w:hAnsi="仿宋_GB2312" w:eastAsia="仿宋_GB2312" w:cs="仿宋_GB2312"/>
          <w:sz w:val="32"/>
          <w:szCs w:val="32"/>
        </w:rPr>
        <w:t>万元</w:t>
      </w:r>
      <w:r>
        <w:rPr>
          <w:rFonts w:hint="eastAsia" w:eastAsia="仿宋_GB2312" w:cs="仿宋_GB2312"/>
          <w:sz w:val="32"/>
          <w:szCs w:val="32"/>
        </w:rPr>
        <w:t>，主要用于以下方面：一般公共服务支出</w:t>
      </w:r>
      <w:r>
        <w:rPr>
          <w:rFonts w:eastAsia="仿宋_GB2312" w:cs="仿宋_GB2312"/>
          <w:sz w:val="32"/>
          <w:szCs w:val="32"/>
        </w:rPr>
        <w:t>512.82</w:t>
      </w:r>
      <w:r>
        <w:rPr>
          <w:rFonts w:hint="eastAsia" w:eastAsia="仿宋_GB2312" w:cs="仿宋_GB2312"/>
          <w:sz w:val="32"/>
          <w:szCs w:val="32"/>
        </w:rPr>
        <w:t>万元，占</w:t>
      </w:r>
      <w:r>
        <w:rPr>
          <w:rFonts w:eastAsia="仿宋_GB2312" w:cs="仿宋_GB2312"/>
          <w:sz w:val="32"/>
          <w:szCs w:val="32"/>
        </w:rPr>
        <w:t>84.70%</w:t>
      </w:r>
      <w:r>
        <w:rPr>
          <w:rFonts w:hint="eastAsia" w:eastAsia="仿宋_GB2312" w:cs="仿宋_GB2312"/>
          <w:sz w:val="32"/>
          <w:szCs w:val="32"/>
        </w:rPr>
        <w:t>；社会保障和就业支出</w:t>
      </w:r>
      <w:r>
        <w:rPr>
          <w:rFonts w:eastAsia="仿宋_GB2312" w:cs="仿宋_GB2312"/>
          <w:sz w:val="32"/>
          <w:szCs w:val="32"/>
        </w:rPr>
        <w:t>42.44</w:t>
      </w:r>
      <w:r>
        <w:rPr>
          <w:rFonts w:hint="eastAsia" w:eastAsia="仿宋_GB2312" w:cs="仿宋_GB2312"/>
          <w:sz w:val="32"/>
          <w:szCs w:val="32"/>
        </w:rPr>
        <w:t>万元，占</w:t>
      </w:r>
      <w:r>
        <w:rPr>
          <w:rFonts w:eastAsia="仿宋_GB2312" w:cs="仿宋_GB2312"/>
          <w:sz w:val="32"/>
          <w:szCs w:val="32"/>
        </w:rPr>
        <w:t>7%</w:t>
      </w:r>
      <w:r>
        <w:rPr>
          <w:rFonts w:hint="eastAsia" w:eastAsia="仿宋_GB2312" w:cs="仿宋_GB2312"/>
          <w:sz w:val="32"/>
          <w:szCs w:val="32"/>
        </w:rPr>
        <w:t>；卫生健康支出</w:t>
      </w:r>
      <w:r>
        <w:rPr>
          <w:rFonts w:eastAsia="仿宋_GB2312" w:cs="仿宋_GB2312"/>
          <w:sz w:val="32"/>
          <w:szCs w:val="32"/>
        </w:rPr>
        <w:t>22.44</w:t>
      </w:r>
      <w:r>
        <w:rPr>
          <w:rFonts w:hint="eastAsia" w:eastAsia="仿宋_GB2312" w:cs="仿宋_GB2312"/>
          <w:sz w:val="32"/>
          <w:szCs w:val="32"/>
        </w:rPr>
        <w:t>万元，占</w:t>
      </w:r>
      <w:r>
        <w:rPr>
          <w:rFonts w:eastAsia="仿宋_GB2312" w:cs="仿宋_GB2312"/>
          <w:sz w:val="32"/>
          <w:szCs w:val="32"/>
        </w:rPr>
        <w:t>3.7%</w:t>
      </w:r>
      <w:r>
        <w:rPr>
          <w:rFonts w:hint="eastAsia" w:eastAsia="仿宋_GB2312" w:cs="仿宋_GB2312"/>
          <w:sz w:val="32"/>
          <w:szCs w:val="32"/>
        </w:rPr>
        <w:t>；住房保障支出</w:t>
      </w:r>
      <w:r>
        <w:rPr>
          <w:rFonts w:eastAsia="仿宋_GB2312" w:cs="仿宋_GB2312"/>
          <w:sz w:val="32"/>
          <w:szCs w:val="32"/>
        </w:rPr>
        <w:t>27.79</w:t>
      </w:r>
      <w:r>
        <w:rPr>
          <w:rFonts w:hint="eastAsia" w:eastAsia="仿宋_GB2312" w:cs="仿宋_GB2312"/>
          <w:sz w:val="32"/>
          <w:szCs w:val="32"/>
        </w:rPr>
        <w:t>万元，占</w:t>
      </w:r>
      <w:r>
        <w:rPr>
          <w:rFonts w:eastAsia="仿宋_GB2312" w:cs="仿宋_GB2312"/>
          <w:sz w:val="32"/>
          <w:szCs w:val="32"/>
        </w:rPr>
        <w:t>4.6%</w:t>
      </w:r>
      <w:r>
        <w:rPr>
          <w:rFonts w:hint="eastAsia" w:eastAsia="仿宋_GB2312" w:cs="仿宋_GB2312"/>
          <w:sz w:val="32"/>
          <w:szCs w:val="32"/>
        </w:rPr>
        <w:t>。</w:t>
      </w:r>
    </w:p>
    <w:p w14:paraId="2010D915">
      <w:pPr>
        <w:pStyle w:val="2"/>
      </w:pPr>
    </w:p>
    <w:p w14:paraId="329C8B20">
      <w:pPr>
        <w:pStyle w:val="3"/>
        <w:ind w:left="420"/>
      </w:pPr>
      <w:r>
        <w:pict>
          <v:shape id="_x0000_i1027" o:spt="75" type="#_x0000_t75" style="height:216.75pt;width:381.7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">
            <v:path/>
            <v:fill on="f" focussize="0,0"/>
            <v:stroke on="f" joinstyle="miter"/>
            <v:imagedata r:id="rId13" o:title=""/>
            <o:lock v:ext="edit" aspectratio="f"/>
            <w10:wrap type="none"/>
            <w10:anchorlock/>
          </v:shape>
        </w:pict>
      </w:r>
    </w:p>
    <w:p w14:paraId="66C68EDB">
      <w:pPr>
        <w:spacing w:line="600" w:lineRule="exact"/>
        <w:ind w:firstLine="64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6</w:t>
      </w:r>
      <w:r>
        <w:rPr>
          <w:rFonts w:hint="eastAsia" w:eastAsia="仿宋_GB2312" w:cs="仿宋_GB2312"/>
          <w:sz w:val="32"/>
          <w:szCs w:val="32"/>
        </w:rPr>
        <w:t>：一般公共预算财政拨款支出决算结构）</w:t>
      </w:r>
    </w:p>
    <w:p w14:paraId="3F9CE440">
      <w:pPr>
        <w:spacing w:line="600" w:lineRule="exact"/>
        <w:ind w:firstLine="640"/>
        <w:rPr>
          <w:rFonts w:eastAsia="仿宋_GB2312" w:cs="仿宋_GB2312"/>
          <w:sz w:val="32"/>
          <w:szCs w:val="32"/>
        </w:rPr>
      </w:pPr>
    </w:p>
    <w:p w14:paraId="3EB4BFF6">
      <w:pPr>
        <w:spacing w:line="600" w:lineRule="exact"/>
        <w:ind w:firstLine="643" w:firstLineChars="200"/>
        <w:outlineLvl w:val="2"/>
        <w:rPr>
          <w:rFonts w:eastAsia="楷体_GB2312" w:cs="楷体_GB2312"/>
          <w:b/>
          <w:sz w:val="32"/>
          <w:szCs w:val="32"/>
        </w:rPr>
      </w:pPr>
      <w:bookmarkStart w:id="33" w:name="_Toc15377212"/>
      <w:r>
        <w:rPr>
          <w:rFonts w:hint="eastAsia" w:eastAsia="楷体_GB2312" w:cs="楷体_GB2312"/>
          <w:b/>
          <w:sz w:val="32"/>
          <w:szCs w:val="32"/>
        </w:rPr>
        <w:t>（三）一般公共预算财政拨款支出决算具体情况</w:t>
      </w:r>
      <w:bookmarkEnd w:id="33"/>
    </w:p>
    <w:p w14:paraId="2FFE9D8C">
      <w:pPr>
        <w:spacing w:line="600" w:lineRule="exact"/>
        <w:ind w:firstLine="640"/>
        <w:rPr>
          <w:rFonts w:eastAsia="仿宋_GB2312" w:cs="仿宋_GB2312"/>
          <w:sz w:val="32"/>
          <w:szCs w:val="32"/>
        </w:rPr>
      </w:pPr>
      <w:bookmarkStart w:id="34" w:name="_Toc15377213"/>
      <w:bookmarkStart w:id="35" w:name="_Toc15377444"/>
      <w:bookmarkStart w:id="36" w:name="_Toc15378460"/>
      <w:r>
        <w:rPr>
          <w:rFonts w:eastAsia="仿宋_GB2312" w:cs="仿宋_GB2312"/>
          <w:sz w:val="32"/>
          <w:szCs w:val="32"/>
        </w:rPr>
        <w:t>2024</w:t>
      </w:r>
      <w:r>
        <w:rPr>
          <w:rFonts w:hint="eastAsia" w:eastAsia="仿宋_GB2312" w:cs="仿宋_GB2312"/>
          <w:sz w:val="32"/>
          <w:szCs w:val="32"/>
        </w:rPr>
        <w:t>年度一般公共预算财政拨款支出决算数为</w:t>
      </w:r>
      <w:r>
        <w:rPr>
          <w:rFonts w:ascii="仿宋_GB2312" w:hAnsi="仿宋_GB2312" w:eastAsia="仿宋_GB2312" w:cs="仿宋_GB2312"/>
          <w:sz w:val="32"/>
          <w:szCs w:val="32"/>
        </w:rPr>
        <w:t>605.49</w:t>
      </w:r>
      <w:r>
        <w:rPr>
          <w:rFonts w:hint="eastAsia" w:ascii="仿宋_GB2312" w:hAnsi="仿宋_GB2312" w:eastAsia="仿宋_GB2312" w:cs="仿宋_GB2312"/>
          <w:sz w:val="32"/>
          <w:szCs w:val="32"/>
        </w:rPr>
        <w:t>，</w:t>
      </w:r>
      <w:r>
        <w:rPr>
          <w:rFonts w:hint="eastAsia" w:eastAsia="仿宋_GB2312" w:cs="仿宋_GB2312"/>
          <w:sz w:val="32"/>
          <w:szCs w:val="32"/>
        </w:rPr>
        <w:t>完成预算</w:t>
      </w:r>
      <w:r>
        <w:rPr>
          <w:rFonts w:eastAsia="仿宋_GB2312" w:cs="仿宋_GB2312"/>
          <w:sz w:val="32"/>
          <w:szCs w:val="32"/>
        </w:rPr>
        <w:t>100%</w:t>
      </w:r>
      <w:r>
        <w:rPr>
          <w:rFonts w:hint="eastAsia" w:eastAsia="仿宋_GB2312" w:cs="仿宋_GB2312"/>
          <w:sz w:val="32"/>
          <w:szCs w:val="32"/>
        </w:rPr>
        <w:t>。其中：</w:t>
      </w:r>
      <w:bookmarkEnd w:id="34"/>
      <w:bookmarkEnd w:id="35"/>
      <w:bookmarkEnd w:id="36"/>
    </w:p>
    <w:p w14:paraId="4F1F1BBD">
      <w:pPr>
        <w:spacing w:line="600" w:lineRule="exact"/>
        <w:ind w:firstLine="640"/>
        <w:rPr>
          <w:rFonts w:eastAsia="仿宋_GB2312" w:cs="仿宋_GB2312"/>
          <w:sz w:val="32"/>
          <w:szCs w:val="32"/>
        </w:rPr>
      </w:pPr>
      <w:r>
        <w:rPr>
          <w:rFonts w:eastAsia="仿宋_GB2312" w:cs="仿宋_GB2312"/>
          <w:sz w:val="32"/>
          <w:szCs w:val="32"/>
        </w:rPr>
        <w:t>1.</w:t>
      </w:r>
      <w:r>
        <w:rPr>
          <w:rFonts w:hint="eastAsia" w:eastAsia="仿宋_GB2312" w:cs="仿宋_GB2312"/>
          <w:sz w:val="32"/>
          <w:szCs w:val="32"/>
        </w:rPr>
        <w:t>一般公共服务（类）政府办公厅（室）及相关机构事务（款）一般行政管理事务（项）：支出决算为</w:t>
      </w:r>
      <w:r>
        <w:rPr>
          <w:rFonts w:eastAsia="仿宋_GB2312" w:cs="仿宋_GB2312"/>
          <w:sz w:val="32"/>
          <w:szCs w:val="32"/>
        </w:rPr>
        <w:t>252.58</w:t>
      </w:r>
      <w:r>
        <w:rPr>
          <w:rFonts w:hint="eastAsia" w:eastAsia="仿宋_GB2312" w:cs="仿宋_GB2312"/>
          <w:sz w:val="32"/>
          <w:szCs w:val="32"/>
        </w:rPr>
        <w:t>万元，完成预算</w:t>
      </w:r>
      <w:r>
        <w:rPr>
          <w:rFonts w:eastAsia="仿宋_GB2312" w:cs="仿宋_GB2312"/>
          <w:sz w:val="32"/>
          <w:szCs w:val="32"/>
        </w:rPr>
        <w:t>100%</w:t>
      </w:r>
      <w:r>
        <w:rPr>
          <w:rFonts w:hint="eastAsia" w:eastAsia="仿宋_GB2312" w:cs="仿宋_GB2312"/>
          <w:sz w:val="32"/>
          <w:szCs w:val="32"/>
        </w:rPr>
        <w:t>。</w:t>
      </w:r>
    </w:p>
    <w:p w14:paraId="38E83C61">
      <w:pPr>
        <w:spacing w:line="600" w:lineRule="exact"/>
        <w:ind w:firstLine="640"/>
        <w:rPr>
          <w:rFonts w:eastAsia="仿宋_GB2312" w:cs="仿宋_GB2312"/>
          <w:sz w:val="32"/>
          <w:szCs w:val="32"/>
        </w:rPr>
      </w:pPr>
      <w:r>
        <w:rPr>
          <w:rFonts w:eastAsia="仿宋_GB2312" w:cs="仿宋_GB2312"/>
          <w:sz w:val="32"/>
          <w:szCs w:val="32"/>
        </w:rPr>
        <w:t>2.</w:t>
      </w:r>
      <w:r>
        <w:rPr>
          <w:rFonts w:hint="eastAsia" w:eastAsia="仿宋_GB2312" w:cs="仿宋_GB2312"/>
          <w:sz w:val="32"/>
          <w:szCs w:val="32"/>
        </w:rPr>
        <w:t>一般公共服务（类）政府办公厅（室）及相关机构事务（款）事业运行（项）：支出决算为</w:t>
      </w:r>
      <w:r>
        <w:rPr>
          <w:rFonts w:eastAsia="仿宋_GB2312" w:cs="仿宋_GB2312"/>
          <w:sz w:val="32"/>
          <w:szCs w:val="32"/>
        </w:rPr>
        <w:t>258.78</w:t>
      </w:r>
      <w:r>
        <w:rPr>
          <w:rFonts w:hint="eastAsia" w:eastAsia="仿宋_GB2312" w:cs="仿宋_GB2312"/>
          <w:sz w:val="32"/>
          <w:szCs w:val="32"/>
        </w:rPr>
        <w:t>万元，完成预算</w:t>
      </w:r>
      <w:r>
        <w:rPr>
          <w:rFonts w:eastAsia="仿宋_GB2312" w:cs="仿宋_GB2312"/>
          <w:sz w:val="32"/>
          <w:szCs w:val="32"/>
        </w:rPr>
        <w:t>100%</w:t>
      </w:r>
      <w:r>
        <w:rPr>
          <w:rFonts w:hint="eastAsia" w:eastAsia="仿宋_GB2312" w:cs="仿宋_GB2312"/>
          <w:sz w:val="32"/>
          <w:szCs w:val="32"/>
        </w:rPr>
        <w:t>。</w:t>
      </w:r>
    </w:p>
    <w:p w14:paraId="4679FA1E">
      <w:pPr>
        <w:spacing w:line="600" w:lineRule="exact"/>
        <w:ind w:firstLine="640"/>
        <w:rPr>
          <w:rFonts w:eastAsia="仿宋_GB2312" w:cs="仿宋_GB2312"/>
          <w:sz w:val="32"/>
          <w:szCs w:val="32"/>
        </w:rPr>
      </w:pPr>
      <w:r>
        <w:rPr>
          <w:rFonts w:eastAsia="仿宋_GB2312" w:cs="仿宋_GB2312"/>
          <w:sz w:val="32"/>
          <w:szCs w:val="32"/>
        </w:rPr>
        <w:t>3.</w:t>
      </w:r>
      <w:r>
        <w:rPr>
          <w:rFonts w:hint="eastAsia" w:eastAsia="仿宋_GB2312" w:cs="仿宋_GB2312"/>
          <w:sz w:val="32"/>
          <w:szCs w:val="32"/>
        </w:rPr>
        <w:t>一般公共服务（类）组织事务（款）其他组织事务支出（项）：支出决算为</w:t>
      </w:r>
      <w:r>
        <w:rPr>
          <w:rFonts w:eastAsia="仿宋_GB2312" w:cs="仿宋_GB2312"/>
          <w:sz w:val="32"/>
          <w:szCs w:val="32"/>
        </w:rPr>
        <w:t>0.46</w:t>
      </w:r>
      <w:r>
        <w:rPr>
          <w:rFonts w:hint="eastAsia" w:eastAsia="仿宋_GB2312" w:cs="仿宋_GB2312"/>
          <w:sz w:val="32"/>
          <w:szCs w:val="32"/>
        </w:rPr>
        <w:t>万元，完成预算</w:t>
      </w:r>
      <w:r>
        <w:rPr>
          <w:rFonts w:eastAsia="仿宋_GB2312" w:cs="仿宋_GB2312"/>
          <w:sz w:val="32"/>
          <w:szCs w:val="32"/>
        </w:rPr>
        <w:t>100%</w:t>
      </w:r>
      <w:r>
        <w:rPr>
          <w:rFonts w:hint="eastAsia" w:eastAsia="仿宋_GB2312" w:cs="仿宋_GB2312"/>
          <w:sz w:val="32"/>
          <w:szCs w:val="32"/>
        </w:rPr>
        <w:t>。</w:t>
      </w:r>
    </w:p>
    <w:p w14:paraId="07CA506F">
      <w:pPr>
        <w:spacing w:line="600" w:lineRule="exact"/>
        <w:ind w:firstLine="640"/>
        <w:rPr>
          <w:rFonts w:eastAsia="仿宋_GB2312" w:cs="仿宋_GB2312"/>
          <w:sz w:val="32"/>
          <w:szCs w:val="32"/>
        </w:rPr>
      </w:pPr>
      <w:r>
        <w:rPr>
          <w:rFonts w:eastAsia="仿宋_GB2312" w:cs="仿宋_GB2312"/>
          <w:sz w:val="32"/>
          <w:szCs w:val="32"/>
        </w:rPr>
        <w:t>4.</w:t>
      </w:r>
      <w:r>
        <w:rPr>
          <w:rFonts w:hint="eastAsia" w:eastAsia="仿宋_GB2312" w:cs="仿宋_GB2312"/>
          <w:sz w:val="32"/>
          <w:szCs w:val="32"/>
        </w:rPr>
        <w:t>社会保障和就业（类）行政事业单位养老支出（款）事业单位离退休（项）：支出决算为</w:t>
      </w:r>
      <w:r>
        <w:rPr>
          <w:rFonts w:eastAsia="仿宋_GB2312" w:cs="仿宋_GB2312"/>
          <w:sz w:val="32"/>
          <w:szCs w:val="32"/>
        </w:rPr>
        <w:t>5.15</w:t>
      </w:r>
      <w:r>
        <w:rPr>
          <w:rFonts w:hint="eastAsia" w:eastAsia="仿宋_GB2312" w:cs="仿宋_GB2312"/>
          <w:sz w:val="32"/>
          <w:szCs w:val="32"/>
        </w:rPr>
        <w:t>万元，完成预算</w:t>
      </w:r>
      <w:r>
        <w:rPr>
          <w:rFonts w:eastAsia="仿宋_GB2312" w:cs="仿宋_GB2312"/>
          <w:sz w:val="32"/>
          <w:szCs w:val="32"/>
        </w:rPr>
        <w:t>100%</w:t>
      </w:r>
      <w:r>
        <w:rPr>
          <w:rFonts w:hint="eastAsia" w:eastAsia="仿宋_GB2312" w:cs="仿宋_GB2312"/>
          <w:sz w:val="32"/>
          <w:szCs w:val="32"/>
        </w:rPr>
        <w:t>。</w:t>
      </w:r>
    </w:p>
    <w:p w14:paraId="5764D736">
      <w:pPr>
        <w:spacing w:line="600" w:lineRule="exact"/>
        <w:ind w:firstLine="640"/>
        <w:rPr>
          <w:rFonts w:eastAsia="仿宋_GB2312" w:cs="仿宋_GB2312"/>
          <w:sz w:val="32"/>
          <w:szCs w:val="32"/>
        </w:rPr>
      </w:pPr>
      <w:r>
        <w:rPr>
          <w:rFonts w:eastAsia="仿宋_GB2312" w:cs="仿宋_GB2312"/>
          <w:sz w:val="32"/>
          <w:szCs w:val="32"/>
        </w:rPr>
        <w:t>5.</w:t>
      </w:r>
      <w:r>
        <w:rPr>
          <w:rFonts w:hint="eastAsia" w:eastAsia="仿宋_GB2312" w:cs="仿宋_GB2312"/>
          <w:sz w:val="32"/>
          <w:szCs w:val="32"/>
        </w:rPr>
        <w:t>社会保障和就业（类）行政事业单位养老支出（款）机关事业单位基本养老保险缴费支出（项）：支出决算为</w:t>
      </w:r>
      <w:r>
        <w:rPr>
          <w:rFonts w:eastAsia="仿宋_GB2312" w:cs="仿宋_GB2312"/>
          <w:sz w:val="32"/>
          <w:szCs w:val="32"/>
        </w:rPr>
        <w:t>37.29</w:t>
      </w:r>
      <w:r>
        <w:rPr>
          <w:rFonts w:hint="eastAsia" w:eastAsia="仿宋_GB2312" w:cs="仿宋_GB2312"/>
          <w:sz w:val="32"/>
          <w:szCs w:val="32"/>
        </w:rPr>
        <w:t>万元，完成预算</w:t>
      </w:r>
      <w:r>
        <w:rPr>
          <w:rFonts w:eastAsia="仿宋_GB2312" w:cs="仿宋_GB2312"/>
          <w:sz w:val="32"/>
          <w:szCs w:val="32"/>
        </w:rPr>
        <w:t>100%</w:t>
      </w:r>
      <w:r>
        <w:rPr>
          <w:rFonts w:hint="eastAsia" w:eastAsia="仿宋_GB2312" w:cs="仿宋_GB2312"/>
          <w:sz w:val="32"/>
          <w:szCs w:val="32"/>
        </w:rPr>
        <w:t>。</w:t>
      </w:r>
    </w:p>
    <w:p w14:paraId="5C5C762D">
      <w:pPr>
        <w:spacing w:line="600" w:lineRule="exact"/>
        <w:ind w:firstLine="640"/>
        <w:rPr>
          <w:rFonts w:eastAsia="仿宋_GB2312" w:cs="仿宋_GB2312"/>
          <w:sz w:val="32"/>
          <w:szCs w:val="32"/>
        </w:rPr>
      </w:pPr>
      <w:r>
        <w:rPr>
          <w:rFonts w:eastAsia="仿宋_GB2312" w:cs="仿宋_GB2312"/>
          <w:sz w:val="32"/>
          <w:szCs w:val="32"/>
        </w:rPr>
        <w:t>6.</w:t>
      </w:r>
      <w:r>
        <w:rPr>
          <w:rFonts w:hint="eastAsia" w:eastAsia="仿宋_GB2312" w:cs="仿宋_GB2312"/>
          <w:sz w:val="32"/>
          <w:szCs w:val="32"/>
        </w:rPr>
        <w:t>卫生健康（类）行政事业单位医疗（款）事业单位医疗（项）：支出决算为</w:t>
      </w:r>
      <w:r>
        <w:rPr>
          <w:rFonts w:eastAsia="仿宋_GB2312" w:cs="仿宋_GB2312"/>
          <w:sz w:val="32"/>
          <w:szCs w:val="32"/>
        </w:rPr>
        <w:t>18.03</w:t>
      </w:r>
      <w:r>
        <w:rPr>
          <w:rFonts w:hint="eastAsia" w:eastAsia="仿宋_GB2312" w:cs="仿宋_GB2312"/>
          <w:sz w:val="32"/>
          <w:szCs w:val="32"/>
        </w:rPr>
        <w:t>万元，完成预算</w:t>
      </w:r>
      <w:r>
        <w:rPr>
          <w:rFonts w:eastAsia="仿宋_GB2312" w:cs="仿宋_GB2312"/>
          <w:sz w:val="32"/>
          <w:szCs w:val="32"/>
        </w:rPr>
        <w:t>100%</w:t>
      </w:r>
      <w:r>
        <w:rPr>
          <w:rFonts w:hint="eastAsia" w:eastAsia="仿宋_GB2312" w:cs="仿宋_GB2312"/>
          <w:sz w:val="32"/>
          <w:szCs w:val="32"/>
        </w:rPr>
        <w:t>。</w:t>
      </w:r>
    </w:p>
    <w:p w14:paraId="515321E7">
      <w:pPr>
        <w:spacing w:line="600" w:lineRule="exact"/>
        <w:ind w:firstLine="640"/>
        <w:rPr>
          <w:rFonts w:eastAsia="仿宋_GB2312" w:cs="仿宋_GB2312"/>
          <w:sz w:val="32"/>
          <w:szCs w:val="32"/>
        </w:rPr>
      </w:pPr>
      <w:r>
        <w:rPr>
          <w:rFonts w:eastAsia="仿宋_GB2312" w:cs="仿宋_GB2312"/>
          <w:sz w:val="32"/>
          <w:szCs w:val="32"/>
        </w:rPr>
        <w:t>7.</w:t>
      </w:r>
      <w:r>
        <w:rPr>
          <w:rFonts w:hint="eastAsia" w:eastAsia="仿宋_GB2312" w:cs="仿宋_GB2312"/>
          <w:sz w:val="32"/>
          <w:szCs w:val="32"/>
        </w:rPr>
        <w:t>卫生健康（类）行政事业单位医疗（款）公务员医疗补助（项）：支出决算为</w:t>
      </w:r>
      <w:r>
        <w:rPr>
          <w:rFonts w:eastAsia="仿宋_GB2312" w:cs="仿宋_GB2312"/>
          <w:sz w:val="32"/>
          <w:szCs w:val="32"/>
        </w:rPr>
        <w:t>2.34</w:t>
      </w:r>
      <w:r>
        <w:rPr>
          <w:rFonts w:hint="eastAsia" w:eastAsia="仿宋_GB2312" w:cs="仿宋_GB2312"/>
          <w:sz w:val="32"/>
          <w:szCs w:val="32"/>
        </w:rPr>
        <w:t>万元，完成预算</w:t>
      </w:r>
      <w:r>
        <w:rPr>
          <w:rFonts w:eastAsia="仿宋_GB2312" w:cs="仿宋_GB2312"/>
          <w:sz w:val="32"/>
          <w:szCs w:val="32"/>
        </w:rPr>
        <w:t>100%</w:t>
      </w:r>
      <w:r>
        <w:rPr>
          <w:rFonts w:hint="eastAsia" w:eastAsia="仿宋_GB2312" w:cs="仿宋_GB2312"/>
          <w:sz w:val="32"/>
          <w:szCs w:val="32"/>
        </w:rPr>
        <w:t>。</w:t>
      </w:r>
    </w:p>
    <w:p w14:paraId="1D471632">
      <w:pPr>
        <w:spacing w:line="600" w:lineRule="exact"/>
        <w:ind w:firstLine="640"/>
        <w:rPr>
          <w:rFonts w:eastAsia="仿宋_GB2312" w:cs="仿宋_GB2312"/>
          <w:sz w:val="32"/>
          <w:szCs w:val="32"/>
        </w:rPr>
      </w:pPr>
      <w:r>
        <w:rPr>
          <w:rFonts w:eastAsia="仿宋_GB2312" w:cs="仿宋_GB2312"/>
          <w:sz w:val="32"/>
          <w:szCs w:val="32"/>
        </w:rPr>
        <w:t>8.</w:t>
      </w:r>
      <w:r>
        <w:rPr>
          <w:rFonts w:hint="eastAsia" w:eastAsia="仿宋_GB2312" w:cs="仿宋_GB2312"/>
          <w:sz w:val="32"/>
          <w:szCs w:val="32"/>
        </w:rPr>
        <w:t>卫生健康（类）行政事业单位医疗（款）其他行政事业单位医疗支出（项）：支出决算为</w:t>
      </w:r>
      <w:r>
        <w:rPr>
          <w:rFonts w:eastAsia="仿宋_GB2312" w:cs="仿宋_GB2312"/>
          <w:sz w:val="32"/>
          <w:szCs w:val="32"/>
        </w:rPr>
        <w:t>2.07</w:t>
      </w:r>
      <w:r>
        <w:rPr>
          <w:rFonts w:hint="eastAsia" w:eastAsia="仿宋_GB2312" w:cs="仿宋_GB2312"/>
          <w:sz w:val="32"/>
          <w:szCs w:val="32"/>
        </w:rPr>
        <w:t>万元，完成预算</w:t>
      </w:r>
      <w:r>
        <w:rPr>
          <w:rFonts w:eastAsia="仿宋_GB2312" w:cs="仿宋_GB2312"/>
          <w:sz w:val="32"/>
          <w:szCs w:val="32"/>
        </w:rPr>
        <w:t>100%</w:t>
      </w:r>
      <w:r>
        <w:rPr>
          <w:rFonts w:hint="eastAsia" w:eastAsia="仿宋_GB2312" w:cs="仿宋_GB2312"/>
          <w:sz w:val="32"/>
          <w:szCs w:val="32"/>
        </w:rPr>
        <w:t>。</w:t>
      </w:r>
    </w:p>
    <w:p w14:paraId="7A99F0C9">
      <w:pPr>
        <w:spacing w:line="600" w:lineRule="exact"/>
        <w:ind w:firstLine="640"/>
        <w:rPr>
          <w:rFonts w:eastAsia="仿宋_GB2312" w:cs="仿宋_GB2312"/>
          <w:sz w:val="32"/>
          <w:szCs w:val="32"/>
        </w:rPr>
      </w:pPr>
      <w:r>
        <w:rPr>
          <w:rFonts w:eastAsia="仿宋_GB2312" w:cs="仿宋_GB2312"/>
          <w:sz w:val="32"/>
          <w:szCs w:val="32"/>
        </w:rPr>
        <w:t>9.</w:t>
      </w:r>
      <w:r>
        <w:rPr>
          <w:rFonts w:hint="eastAsia" w:eastAsia="仿宋_GB2312" w:cs="仿宋_GB2312"/>
          <w:sz w:val="32"/>
          <w:szCs w:val="32"/>
        </w:rPr>
        <w:t>住房保障支出（类）住房改革支出（款）住房公积金（项）</w:t>
      </w:r>
      <w:r>
        <w:rPr>
          <w:rFonts w:eastAsia="仿宋_GB2312" w:cs="仿宋_GB2312"/>
          <w:sz w:val="32"/>
          <w:szCs w:val="32"/>
        </w:rPr>
        <w:t xml:space="preserve">: </w:t>
      </w:r>
      <w:r>
        <w:rPr>
          <w:rFonts w:hint="eastAsia" w:eastAsia="仿宋_GB2312" w:cs="仿宋_GB2312"/>
          <w:sz w:val="32"/>
          <w:szCs w:val="32"/>
        </w:rPr>
        <w:t>支出决算为</w:t>
      </w:r>
      <w:r>
        <w:rPr>
          <w:rFonts w:eastAsia="仿宋_GB2312" w:cs="仿宋_GB2312"/>
          <w:sz w:val="32"/>
          <w:szCs w:val="32"/>
        </w:rPr>
        <w:t>27.79</w:t>
      </w:r>
      <w:r>
        <w:rPr>
          <w:rFonts w:hint="eastAsia" w:eastAsia="仿宋_GB2312" w:cs="仿宋_GB2312"/>
          <w:sz w:val="32"/>
          <w:szCs w:val="32"/>
        </w:rPr>
        <w:t>万元，完成预算</w:t>
      </w:r>
      <w:r>
        <w:rPr>
          <w:rFonts w:eastAsia="仿宋_GB2312" w:cs="仿宋_GB2312"/>
          <w:sz w:val="32"/>
          <w:szCs w:val="32"/>
        </w:rPr>
        <w:t>100%</w:t>
      </w:r>
      <w:r>
        <w:rPr>
          <w:rFonts w:hint="eastAsia" w:eastAsia="仿宋_GB2312" w:cs="仿宋_GB2312"/>
          <w:sz w:val="32"/>
          <w:szCs w:val="32"/>
        </w:rPr>
        <w:t>。</w:t>
      </w:r>
    </w:p>
    <w:p w14:paraId="1E8FC2A1">
      <w:pPr>
        <w:spacing w:line="600" w:lineRule="exact"/>
        <w:ind w:firstLine="640"/>
        <w:rPr>
          <w:rFonts w:eastAsia="仿宋_GB2312" w:cs="仿宋_GB2312"/>
          <w:sz w:val="32"/>
          <w:szCs w:val="32"/>
        </w:rPr>
      </w:pPr>
    </w:p>
    <w:p w14:paraId="60964649">
      <w:pPr>
        <w:tabs>
          <w:tab w:val="right" w:pos="8306"/>
        </w:tabs>
        <w:spacing w:line="600" w:lineRule="exact"/>
        <w:ind w:firstLine="640"/>
        <w:outlineLvl w:val="1"/>
        <w:rPr>
          <w:rStyle w:val="21"/>
          <w:rFonts w:ascii="Times New Roman" w:hAnsi="Times New Roman"/>
        </w:rPr>
      </w:pPr>
      <w:bookmarkStart w:id="37" w:name="_Toc15377214"/>
      <w:bookmarkStart w:id="38" w:name="_Toc15396608"/>
      <w:r>
        <w:rPr>
          <w:rFonts w:hint="eastAsia" w:eastAsia="黑体"/>
          <w:sz w:val="32"/>
          <w:szCs w:val="32"/>
        </w:rPr>
        <w:t>六</w:t>
      </w:r>
      <w:r>
        <w:rPr>
          <w:rFonts w:hint="eastAsia" w:eastAsia="黑体"/>
          <w:b/>
          <w:sz w:val="32"/>
          <w:szCs w:val="32"/>
        </w:rPr>
        <w:t>、一</w:t>
      </w:r>
      <w:r>
        <w:rPr>
          <w:rStyle w:val="21"/>
          <w:rFonts w:hint="eastAsia" w:ascii="Times New Roman" w:hAnsi="Times New Roman" w:eastAsia="黑体"/>
          <w:b w:val="0"/>
        </w:rPr>
        <w:t>般公共预算财政拨款基本支出决算情况说明</w:t>
      </w:r>
      <w:bookmarkEnd w:id="37"/>
      <w:bookmarkEnd w:id="38"/>
      <w:r>
        <w:rPr>
          <w:rStyle w:val="21"/>
          <w:rFonts w:ascii="Times New Roman" w:hAnsi="Times New Roman" w:eastAsia="黑体"/>
          <w:b w:val="0"/>
        </w:rPr>
        <w:tab/>
      </w:r>
    </w:p>
    <w:p w14:paraId="55349EA1">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年度一般公共预算财政拨款基本支出</w:t>
      </w:r>
      <w:r>
        <w:rPr>
          <w:rFonts w:ascii="仿宋_GB2312" w:hAnsi="仿宋_GB2312" w:eastAsia="仿宋_GB2312" w:cs="仿宋_GB2312"/>
          <w:sz w:val="32"/>
          <w:szCs w:val="32"/>
        </w:rPr>
        <w:t>351.45</w:t>
      </w:r>
      <w:r>
        <w:rPr>
          <w:rFonts w:hint="eastAsia" w:ascii="仿宋_GB2312" w:hAnsi="仿宋_GB2312" w:eastAsia="仿宋_GB2312" w:cs="仿宋_GB2312"/>
          <w:sz w:val="32"/>
          <w:szCs w:val="32"/>
        </w:rPr>
        <w:t>万</w:t>
      </w:r>
      <w:r>
        <w:rPr>
          <w:rFonts w:hint="eastAsia" w:eastAsia="仿宋_GB2312" w:cs="仿宋_GB2312"/>
          <w:sz w:val="32"/>
          <w:szCs w:val="32"/>
        </w:rPr>
        <w:t>元，其中：</w:t>
      </w:r>
    </w:p>
    <w:p w14:paraId="1A120C3D">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ascii="仿宋_GB2312" w:hAnsi="仿宋_GB2312" w:eastAsia="仿宋_GB2312" w:cs="仿宋_GB2312"/>
          <w:sz w:val="32"/>
          <w:szCs w:val="32"/>
        </w:rPr>
        <w:t>329.19</w:t>
      </w:r>
      <w:r>
        <w:rPr>
          <w:rFonts w:hint="eastAsia" w:ascii="仿宋_GB2312" w:hAnsi="仿宋_GB2312" w:eastAsia="仿宋_GB2312" w:cs="仿宋_GB2312"/>
          <w:sz w:val="32"/>
          <w:szCs w:val="32"/>
        </w:rPr>
        <w:t>万</w:t>
      </w:r>
      <w:r>
        <w:rPr>
          <w:rFonts w:hint="eastAsia" w:eastAsia="仿宋_GB2312" w:cs="仿宋_GB2312"/>
          <w:sz w:val="32"/>
          <w:szCs w:val="32"/>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eastAsia="仿宋_GB2312" w:cs="仿宋_GB2312"/>
          <w:sz w:val="32"/>
          <w:szCs w:val="32"/>
        </w:rPr>
        <w:br w:type="textWrapping"/>
      </w:r>
      <w:r>
        <w:rPr>
          <w:rFonts w:hint="eastAsia" w:eastAsia="仿宋_GB2312" w:cs="仿宋_GB2312"/>
          <w:sz w:val="32"/>
          <w:szCs w:val="32"/>
        </w:rPr>
        <w:t>　　公用经费</w:t>
      </w:r>
      <w:r>
        <w:rPr>
          <w:rFonts w:ascii="仿宋_GB2312" w:hAnsi="仿宋_GB2312" w:eastAsia="仿宋_GB2312" w:cs="仿宋_GB2312"/>
          <w:sz w:val="32"/>
          <w:szCs w:val="32"/>
        </w:rPr>
        <w:t>22.26</w:t>
      </w:r>
      <w:r>
        <w:rPr>
          <w:rFonts w:hint="eastAsia" w:ascii="仿宋_GB2312" w:hAnsi="仿宋_GB2312" w:eastAsia="仿宋_GB2312" w:cs="仿宋_GB2312"/>
          <w:sz w:val="32"/>
          <w:szCs w:val="32"/>
        </w:rPr>
        <w:t>万</w:t>
      </w:r>
      <w:r>
        <w:rPr>
          <w:rFonts w:hint="eastAsia" w:eastAsia="仿宋_GB2312" w:cs="仿宋_GB2312"/>
          <w:sz w:val="32"/>
          <w:szCs w:val="32"/>
        </w:rPr>
        <w:t>元，主要包括：办公费、印刷费、咨询费、手续费、水费、电费、邮电费、取暖费、物业管理费、差旅费、维修（护）费、公务接待费、劳务费、委托业务费、工会经费、福利费、公务用车运行维护费、其他交通费、税金及附加费用、其他商品和服务支出、办公设备购置、专用设备购置、信息网络及软件购置更新、其他资本性支出等。</w:t>
      </w:r>
    </w:p>
    <w:p w14:paraId="2CA6911A">
      <w:pPr>
        <w:spacing w:line="600" w:lineRule="exact"/>
        <w:ind w:firstLine="640"/>
        <w:rPr>
          <w:rFonts w:eastAsia="仿宋_GB2312" w:cs="仿宋_GB2312"/>
          <w:sz w:val="32"/>
          <w:szCs w:val="32"/>
        </w:rPr>
      </w:pPr>
    </w:p>
    <w:p w14:paraId="3A3E57D4">
      <w:pPr>
        <w:spacing w:line="600" w:lineRule="exact"/>
        <w:ind w:firstLine="640"/>
        <w:outlineLvl w:val="1"/>
        <w:rPr>
          <w:rStyle w:val="21"/>
          <w:rFonts w:ascii="Times New Roman" w:hAnsi="Times New Roman" w:eastAsia="黑体"/>
          <w:b w:val="0"/>
        </w:rPr>
      </w:pPr>
      <w:bookmarkStart w:id="39" w:name="_Toc15396609"/>
      <w:bookmarkStart w:id="40" w:name="_Toc15377215"/>
      <w:r>
        <w:rPr>
          <w:rFonts w:hint="eastAsia" w:eastAsia="黑体"/>
          <w:sz w:val="32"/>
          <w:szCs w:val="32"/>
        </w:rPr>
        <w:t>七、</w:t>
      </w:r>
      <w:r>
        <w:rPr>
          <w:rStyle w:val="21"/>
          <w:rFonts w:hint="eastAsia" w:ascii="Times New Roman" w:hAnsi="Times New Roman" w:eastAsia="黑体"/>
          <w:b w:val="0"/>
        </w:rPr>
        <w:t>财政拨款</w:t>
      </w:r>
      <w:r>
        <w:rPr>
          <w:rStyle w:val="21"/>
          <w:rFonts w:hint="eastAsia" w:ascii="Times New Roman" w:hAnsi="Times New Roman" w:eastAsia="黑体"/>
        </w:rPr>
        <w:t>“</w:t>
      </w:r>
      <w:r>
        <w:rPr>
          <w:rStyle w:val="21"/>
          <w:rFonts w:hint="eastAsia" w:ascii="Times New Roman" w:hAnsi="Times New Roman" w:eastAsia="黑体"/>
          <w:b w:val="0"/>
        </w:rPr>
        <w:t>三公”经费支出决算情况说明</w:t>
      </w:r>
      <w:bookmarkEnd w:id="39"/>
      <w:bookmarkEnd w:id="40"/>
    </w:p>
    <w:p w14:paraId="6CD3C969">
      <w:pPr>
        <w:spacing w:line="600" w:lineRule="exact"/>
        <w:ind w:firstLine="643" w:firstLineChars="200"/>
        <w:outlineLvl w:val="2"/>
        <w:rPr>
          <w:rFonts w:eastAsia="楷体_GB2312" w:cs="楷体_GB2312"/>
          <w:b/>
          <w:sz w:val="32"/>
          <w:szCs w:val="32"/>
        </w:rPr>
      </w:pPr>
      <w:bookmarkStart w:id="41" w:name="_Toc15377216"/>
      <w:r>
        <w:rPr>
          <w:rFonts w:hint="eastAsia" w:eastAsia="楷体_GB2312" w:cs="楷体_GB2312"/>
          <w:b/>
          <w:sz w:val="32"/>
          <w:szCs w:val="32"/>
        </w:rPr>
        <w:t>（一）“三公”经费财政拨款支出决算总体情况说明</w:t>
      </w:r>
      <w:bookmarkEnd w:id="41"/>
    </w:p>
    <w:p w14:paraId="277E0A9C">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年度“三公”经费财政拨款支出决算为</w:t>
      </w:r>
      <w:r>
        <w:rPr>
          <w:rFonts w:ascii="仿宋_GB2312" w:hAnsi="仿宋_GB2312" w:eastAsia="仿宋_GB2312" w:cs="仿宋_GB2312"/>
          <w:sz w:val="32"/>
          <w:szCs w:val="32"/>
        </w:rPr>
        <w:t>0.6</w:t>
      </w:r>
      <w:r>
        <w:rPr>
          <w:rFonts w:hint="eastAsia" w:ascii="仿宋_GB2312" w:hAnsi="仿宋_GB2312" w:eastAsia="仿宋_GB2312" w:cs="仿宋_GB2312"/>
          <w:sz w:val="32"/>
          <w:szCs w:val="32"/>
        </w:rPr>
        <w:t>万元，完成预算</w:t>
      </w:r>
      <w:r>
        <w:rPr>
          <w:rFonts w:ascii="仿宋_GB2312" w:hAnsi="仿宋_GB2312" w:eastAsia="仿宋_GB2312" w:cs="仿宋_GB2312"/>
          <w:sz w:val="32"/>
          <w:szCs w:val="32"/>
        </w:rPr>
        <w:t>40.90%</w:t>
      </w:r>
      <w:r>
        <w:rPr>
          <w:rFonts w:hint="eastAsia" w:ascii="仿宋_GB2312" w:hAnsi="仿宋_GB2312" w:eastAsia="仿宋_GB2312" w:cs="仿宋_GB2312"/>
          <w:sz w:val="32"/>
          <w:szCs w:val="32"/>
        </w:rPr>
        <w:t>，</w:t>
      </w:r>
      <w:r>
        <w:rPr>
          <w:rFonts w:hint="eastAsia" w:eastAsia="仿宋_GB2312" w:cs="仿宋_GB2312"/>
          <w:sz w:val="32"/>
          <w:szCs w:val="32"/>
        </w:rPr>
        <w:t>较上年度减少</w:t>
      </w:r>
      <w:r>
        <w:rPr>
          <w:rFonts w:eastAsia="仿宋_GB2312" w:cs="仿宋_GB2312"/>
          <w:sz w:val="32"/>
          <w:szCs w:val="32"/>
        </w:rPr>
        <w:t>0.7</w:t>
      </w:r>
      <w:r>
        <w:rPr>
          <w:rFonts w:hint="eastAsia" w:eastAsia="仿宋_GB2312" w:cs="仿宋_GB2312"/>
          <w:sz w:val="32"/>
          <w:szCs w:val="32"/>
        </w:rPr>
        <w:t>万元，下降</w:t>
      </w:r>
      <w:r>
        <w:rPr>
          <w:rFonts w:eastAsia="仿宋_GB2312" w:cs="仿宋_GB2312"/>
          <w:sz w:val="32"/>
          <w:szCs w:val="32"/>
        </w:rPr>
        <w:t>53.85%</w:t>
      </w:r>
      <w:r>
        <w:rPr>
          <w:rFonts w:hint="eastAsia" w:eastAsia="仿宋_GB2312" w:cs="仿宋_GB2312"/>
          <w:sz w:val="32"/>
          <w:szCs w:val="32"/>
        </w:rPr>
        <w:t>。决算数小于预算数的主要原因是</w:t>
      </w:r>
      <w:r>
        <w:rPr>
          <w:rFonts w:eastAsia="仿宋_GB2312" w:cs="仿宋_GB2312"/>
          <w:sz w:val="32"/>
          <w:szCs w:val="32"/>
        </w:rPr>
        <w:t>2024</w:t>
      </w:r>
      <w:r>
        <w:rPr>
          <w:rFonts w:hint="eastAsia" w:eastAsia="仿宋_GB2312" w:cs="仿宋_GB2312"/>
          <w:sz w:val="32"/>
          <w:szCs w:val="32"/>
        </w:rPr>
        <w:t>年未有公务接待。</w:t>
      </w:r>
    </w:p>
    <w:p w14:paraId="739A6656">
      <w:pPr>
        <w:spacing w:line="600" w:lineRule="exact"/>
        <w:ind w:firstLine="643" w:firstLineChars="200"/>
        <w:outlineLvl w:val="2"/>
        <w:rPr>
          <w:rFonts w:eastAsia="楷体_GB2312" w:cs="楷体_GB2312"/>
          <w:b/>
          <w:sz w:val="32"/>
          <w:szCs w:val="32"/>
        </w:rPr>
      </w:pPr>
      <w:bookmarkStart w:id="42" w:name="_Toc15377217"/>
      <w:r>
        <w:rPr>
          <w:rFonts w:hint="eastAsia" w:eastAsia="楷体_GB2312" w:cs="楷体_GB2312"/>
          <w:b/>
          <w:sz w:val="32"/>
          <w:szCs w:val="32"/>
        </w:rPr>
        <w:t>（二）“三公”经费财政拨款支出决算具体情况说明</w:t>
      </w:r>
      <w:bookmarkEnd w:id="42"/>
    </w:p>
    <w:p w14:paraId="3A78C2F3">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年度“三公”经费财政拨款支出决算中，因公出国（境）费支出决算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；公务用车购置及运行维护费支出决算</w:t>
      </w:r>
      <w:r>
        <w:rPr>
          <w:rFonts w:ascii="仿宋_GB2312" w:hAnsi="仿宋_GB2312" w:eastAsia="仿宋_GB2312" w:cs="仿宋_GB2312"/>
          <w:sz w:val="32"/>
          <w:szCs w:val="32"/>
        </w:rPr>
        <w:t>0.6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；公务接待费支出决算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14:paraId="64F32F8A">
      <w:pPr>
        <w:pStyle w:val="2"/>
      </w:pPr>
      <w:r>
        <w:pict>
          <v:shape id="_x0000_s1029" o:spid="_x0000_s1029" o:spt="75" type="#_x0000_t75" style="position:absolute;left:0pt;margin-top:6.7pt;height:216.5pt;width:381.6pt;mso-position-horizontal:right;mso-position-horizontal-relative:margin;mso-wrap-distance-bottom:0pt;mso-wrap-distance-left:9pt;mso-wrap-distance-right:9pt;mso-wrap-distance-top:0pt;z-index:251662336;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">
            <v:path/>
            <v:fill on="f" focussize="0,0"/>
            <v:stroke on="f" joinstyle="miter"/>
            <v:imagedata r:id="rId14" o:title=""/>
            <o:lock v:ext="edit" aspectratio="f"/>
            <w10:wrap type="square"/>
          </v:shape>
        </w:pict>
      </w:r>
    </w:p>
    <w:p w14:paraId="10DA798D">
      <w:pPr>
        <w:spacing w:line="600" w:lineRule="exact"/>
        <w:ind w:firstLine="640"/>
        <w:rPr>
          <w:rFonts w:eastAsia="仿宋_GB2312" w:cs="仿宋_GB2312"/>
          <w:sz w:val="32"/>
          <w:szCs w:val="32"/>
        </w:rPr>
      </w:pPr>
      <w:r>
        <w:rPr>
          <w:rFonts w:hint="eastAsia" w:eastAsia="仿宋_GB2312" w:cs="仿宋_GB2312"/>
          <w:sz w:val="32"/>
          <w:szCs w:val="32"/>
        </w:rPr>
        <w:t>（</w:t>
      </w:r>
    </w:p>
    <w:p w14:paraId="2C5AA47E">
      <w:pPr>
        <w:spacing w:line="600" w:lineRule="exact"/>
        <w:ind w:firstLine="640"/>
        <w:rPr>
          <w:rFonts w:eastAsia="仿宋_GB2312" w:cs="仿宋_GB2312"/>
          <w:sz w:val="32"/>
          <w:szCs w:val="32"/>
        </w:rPr>
      </w:pPr>
    </w:p>
    <w:p w14:paraId="4D3817F3">
      <w:pPr>
        <w:spacing w:line="600" w:lineRule="exact"/>
        <w:ind w:firstLine="640"/>
        <w:rPr>
          <w:rFonts w:eastAsia="仿宋_GB2312" w:cs="仿宋_GB2312"/>
          <w:sz w:val="32"/>
          <w:szCs w:val="32"/>
        </w:rPr>
      </w:pPr>
    </w:p>
    <w:p w14:paraId="4746A1E5">
      <w:pPr>
        <w:spacing w:line="600" w:lineRule="exact"/>
        <w:ind w:firstLine="640"/>
        <w:rPr>
          <w:rFonts w:eastAsia="仿宋_GB2312" w:cs="仿宋_GB2312"/>
          <w:sz w:val="32"/>
          <w:szCs w:val="32"/>
        </w:rPr>
      </w:pPr>
    </w:p>
    <w:p w14:paraId="1E9A19D3">
      <w:pPr>
        <w:spacing w:line="600" w:lineRule="exact"/>
        <w:ind w:firstLine="640"/>
        <w:rPr>
          <w:rFonts w:eastAsia="仿宋_GB2312" w:cs="仿宋_GB2312"/>
          <w:sz w:val="32"/>
          <w:szCs w:val="32"/>
        </w:rPr>
      </w:pPr>
    </w:p>
    <w:p w14:paraId="7B94E635">
      <w:pPr>
        <w:spacing w:line="600" w:lineRule="exact"/>
        <w:ind w:firstLine="640"/>
        <w:rPr>
          <w:rFonts w:eastAsia="仿宋_GB2312" w:cs="仿宋_GB2312"/>
          <w:sz w:val="32"/>
          <w:szCs w:val="32"/>
        </w:rPr>
      </w:pPr>
    </w:p>
    <w:p w14:paraId="5F7B3ACA">
      <w:pPr>
        <w:spacing w:line="600" w:lineRule="exact"/>
        <w:ind w:firstLine="640"/>
        <w:rPr>
          <w:rFonts w:eastAsia="仿宋_GB2312" w:cs="仿宋_GB2312"/>
          <w:sz w:val="32"/>
          <w:szCs w:val="32"/>
        </w:rPr>
      </w:pPr>
      <w:r>
        <w:rPr>
          <w:rFonts w:hint="eastAsia" w:eastAsia="仿宋_GB2312" w:cs="仿宋_GB2312"/>
          <w:sz w:val="32"/>
          <w:szCs w:val="32"/>
        </w:rPr>
        <w:t>（图</w:t>
      </w:r>
      <w:r>
        <w:rPr>
          <w:rFonts w:eastAsia="仿宋_GB2312" w:cs="仿宋_GB2312"/>
          <w:sz w:val="32"/>
          <w:szCs w:val="32"/>
        </w:rPr>
        <w:t>7</w:t>
      </w:r>
      <w:r>
        <w:rPr>
          <w:rFonts w:hint="eastAsia" w:eastAsia="仿宋_GB2312" w:cs="仿宋_GB2312"/>
          <w:sz w:val="32"/>
          <w:szCs w:val="32"/>
        </w:rPr>
        <w:t>：“三公”经费财政拨款支出结构）</w:t>
      </w:r>
    </w:p>
    <w:p w14:paraId="72A486EF">
      <w:pPr>
        <w:spacing w:line="600" w:lineRule="exact"/>
        <w:ind w:firstLine="640"/>
        <w:rPr>
          <w:rFonts w:eastAsia="仿宋_GB2312" w:cs="仿宋_GB2312"/>
          <w:sz w:val="32"/>
          <w:szCs w:val="32"/>
        </w:rPr>
      </w:pPr>
      <w:r>
        <w:rPr>
          <w:rFonts w:eastAsia="仿宋_GB2312" w:cs="仿宋_GB2312"/>
          <w:b/>
          <w:bCs/>
          <w:sz w:val="32"/>
          <w:szCs w:val="32"/>
        </w:rPr>
        <w:t>1.</w:t>
      </w:r>
      <w:r>
        <w:rPr>
          <w:rFonts w:hint="eastAsia" w:eastAsia="仿宋_GB2312" w:cs="仿宋_GB2312"/>
          <w:b/>
          <w:bCs/>
          <w:sz w:val="32"/>
          <w:szCs w:val="32"/>
        </w:rPr>
        <w:t>因公出国（境）经费支出</w:t>
      </w:r>
      <w:r>
        <w:rPr>
          <w:rFonts w:eastAsia="仿宋_GB2312" w:cs="仿宋_GB2312"/>
          <w:b/>
          <w:bCs/>
          <w:sz w:val="32"/>
          <w:szCs w:val="32"/>
        </w:rPr>
        <w:t>0</w:t>
      </w:r>
      <w:r>
        <w:rPr>
          <w:rFonts w:hint="eastAsia" w:eastAsia="仿宋_GB2312" w:cs="仿宋_GB2312"/>
          <w:b/>
          <w:bCs/>
          <w:sz w:val="32"/>
          <w:szCs w:val="32"/>
        </w:rPr>
        <w:t>万元，完成预算</w:t>
      </w:r>
      <w:r>
        <w:rPr>
          <w:rFonts w:eastAsia="仿宋_GB2312" w:cs="仿宋_GB2312"/>
          <w:b/>
          <w:bCs/>
          <w:sz w:val="32"/>
          <w:szCs w:val="32"/>
        </w:rPr>
        <w:t>0%</w:t>
      </w:r>
      <w:r>
        <w:rPr>
          <w:rFonts w:hint="eastAsia" w:eastAsia="仿宋_GB2312" w:cs="仿宋_GB2312"/>
          <w:b/>
          <w:bCs/>
          <w:sz w:val="32"/>
          <w:szCs w:val="32"/>
        </w:rPr>
        <w:t>。</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w:t>
      </w:r>
      <w:r>
        <w:rPr>
          <w:rFonts w:ascii="仿宋_GB2312" w:hAnsi="仿宋_GB2312" w:eastAsia="仿宋_GB2312" w:cs="仿宋_GB2312"/>
          <w:sz w:val="32"/>
          <w:szCs w:val="32"/>
        </w:rPr>
        <w:t>0</w:t>
      </w:r>
      <w:r>
        <w:rPr>
          <w:rFonts w:hint="eastAsia" w:eastAsia="仿宋_GB2312" w:cs="仿宋_GB2312"/>
          <w:sz w:val="32"/>
          <w:szCs w:val="32"/>
        </w:rPr>
        <w:t>次，出国（境）</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w:t>
      </w:r>
      <w:r>
        <w:rPr>
          <w:rFonts w:hint="eastAsia" w:eastAsia="仿宋_GB2312" w:cs="仿宋_GB2312"/>
          <w:sz w:val="32"/>
          <w:szCs w:val="32"/>
        </w:rPr>
        <w:t>。因公出国（境）支出决算与</w:t>
      </w:r>
      <w:r>
        <w:rPr>
          <w:rFonts w:eastAsia="仿宋_GB2312" w:cs="仿宋_GB2312"/>
          <w:sz w:val="32"/>
          <w:szCs w:val="32"/>
        </w:rPr>
        <w:t>2023</w:t>
      </w:r>
      <w:r>
        <w:rPr>
          <w:rFonts w:hint="eastAsia" w:eastAsia="仿宋_GB2312" w:cs="仿宋_GB2312"/>
          <w:sz w:val="32"/>
          <w:szCs w:val="32"/>
        </w:rPr>
        <w:t>年度持平。</w:t>
      </w:r>
    </w:p>
    <w:p w14:paraId="6FA2C2A2">
      <w:pPr>
        <w:spacing w:line="600" w:lineRule="exact"/>
        <w:ind w:firstLine="640"/>
        <w:rPr>
          <w:rFonts w:eastAsia="仿宋_GB2312" w:cs="仿宋_GB2312"/>
          <w:sz w:val="32"/>
          <w:szCs w:val="32"/>
        </w:rPr>
      </w:pPr>
      <w:r>
        <w:rPr>
          <w:rFonts w:eastAsia="仿宋_GB2312" w:cs="仿宋_GB2312"/>
          <w:b/>
          <w:bCs/>
          <w:sz w:val="32"/>
          <w:szCs w:val="32"/>
        </w:rPr>
        <w:t>2.</w:t>
      </w:r>
      <w:r>
        <w:rPr>
          <w:rFonts w:hint="eastAsia" w:eastAsia="仿宋_GB2312" w:cs="仿宋_GB2312"/>
          <w:b/>
          <w:bCs/>
          <w:sz w:val="32"/>
          <w:szCs w:val="32"/>
        </w:rPr>
        <w:t>公务用车购置及运行维护费支出</w:t>
      </w:r>
      <w:r>
        <w:rPr>
          <w:rFonts w:ascii="仿宋_GB2312" w:hAnsi="仿宋_GB2312" w:eastAsia="仿宋_GB2312" w:cs="仿宋_GB2312"/>
          <w:b/>
          <w:bCs/>
          <w:sz w:val="32"/>
          <w:szCs w:val="32"/>
        </w:rPr>
        <w:t>0.6</w:t>
      </w:r>
      <w:r>
        <w:rPr>
          <w:rFonts w:hint="eastAsia" w:ascii="仿宋_GB2312" w:hAnsi="仿宋_GB2312" w:eastAsia="仿宋_GB2312" w:cs="仿宋_GB2312"/>
          <w:b/>
          <w:bCs/>
          <w:sz w:val="32"/>
          <w:szCs w:val="32"/>
        </w:rPr>
        <w:t>万</w:t>
      </w:r>
      <w:r>
        <w:rPr>
          <w:rFonts w:hint="eastAsia" w:eastAsia="仿宋_GB2312" w:cs="仿宋_GB2312"/>
          <w:b/>
          <w:bCs/>
          <w:sz w:val="32"/>
          <w:szCs w:val="32"/>
        </w:rPr>
        <w:t>元，完成预算</w:t>
      </w:r>
      <w:r>
        <w:rPr>
          <w:rFonts w:eastAsia="仿宋_GB2312" w:cs="仿宋_GB2312"/>
          <w:b/>
          <w:bCs/>
          <w:sz w:val="32"/>
          <w:szCs w:val="32"/>
        </w:rPr>
        <w:t>52.91%</w:t>
      </w:r>
      <w:r>
        <w:rPr>
          <w:rFonts w:hint="eastAsia" w:eastAsia="仿宋_GB2312" w:cs="仿宋_GB2312"/>
          <w:b/>
          <w:bCs/>
          <w:sz w:val="32"/>
          <w:szCs w:val="32"/>
        </w:rPr>
        <w:t>。</w:t>
      </w:r>
      <w:r>
        <w:rPr>
          <w:rFonts w:hint="eastAsia" w:eastAsia="仿宋_GB2312" w:cs="仿宋_GB2312"/>
          <w:sz w:val="32"/>
          <w:szCs w:val="32"/>
        </w:rPr>
        <w:t>公务用车购置及运行维护费支出决算比</w:t>
      </w:r>
      <w:r>
        <w:rPr>
          <w:rFonts w:eastAsia="仿宋_GB2312" w:cs="仿宋_GB2312"/>
          <w:sz w:val="32"/>
          <w:szCs w:val="32"/>
        </w:rPr>
        <w:t>2023</w:t>
      </w:r>
      <w:r>
        <w:rPr>
          <w:rFonts w:hint="eastAsia" w:eastAsia="仿宋_GB2312" w:cs="仿宋_GB2312"/>
          <w:sz w:val="32"/>
          <w:szCs w:val="32"/>
        </w:rPr>
        <w:t>年度减少</w:t>
      </w:r>
      <w:r>
        <w:rPr>
          <w:rFonts w:eastAsia="仿宋_GB2312" w:cs="仿宋_GB2312"/>
          <w:sz w:val="32"/>
          <w:szCs w:val="32"/>
        </w:rPr>
        <w:t>0.48</w:t>
      </w:r>
      <w:r>
        <w:rPr>
          <w:rFonts w:hint="eastAsia" w:eastAsia="仿宋_GB2312" w:cs="仿宋_GB2312"/>
          <w:sz w:val="32"/>
          <w:szCs w:val="32"/>
        </w:rPr>
        <w:t>万元，下降</w:t>
      </w:r>
      <w:r>
        <w:rPr>
          <w:rFonts w:eastAsia="仿宋_GB2312" w:cs="仿宋_GB2312"/>
          <w:sz w:val="32"/>
          <w:szCs w:val="32"/>
        </w:rPr>
        <w:t>44.44%</w:t>
      </w:r>
      <w:r>
        <w:rPr>
          <w:rFonts w:hint="eastAsia" w:eastAsia="仿宋_GB2312" w:cs="仿宋_GB2312"/>
          <w:sz w:val="32"/>
          <w:szCs w:val="32"/>
        </w:rPr>
        <w:t>。主要原因是我单位厉行节约，压缩公务用车购置与运行维护费开支。</w:t>
      </w:r>
    </w:p>
    <w:p w14:paraId="1785283F">
      <w:pPr>
        <w:spacing w:line="600" w:lineRule="exact"/>
        <w:ind w:firstLine="640"/>
        <w:rPr>
          <w:rFonts w:eastAsia="仿宋_GB2312" w:cs="仿宋_GB2312"/>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w:t>
      </w:r>
      <w:r>
        <w:rPr>
          <w:rFonts w:ascii="仿宋_GB2312" w:hAnsi="仿宋_GB2312" w:eastAsia="仿宋_GB2312" w:cs="仿宋_GB2312"/>
          <w:sz w:val="32"/>
          <w:szCs w:val="32"/>
        </w:rPr>
        <w:t>0</w:t>
      </w:r>
      <w:r>
        <w:rPr>
          <w:rFonts w:hint="eastAsia" w:eastAsia="仿宋_GB2312" w:cs="仿宋_GB2312"/>
          <w:sz w:val="32"/>
          <w:szCs w:val="32"/>
        </w:rPr>
        <w:t>万元。全年按规定更新购置公务用车</w:t>
      </w:r>
      <w:r>
        <w:rPr>
          <w:rFonts w:eastAsia="仿宋_GB2312" w:cs="仿宋_GB2312"/>
          <w:sz w:val="32"/>
          <w:szCs w:val="32"/>
        </w:rPr>
        <w:t>0</w:t>
      </w:r>
      <w:r>
        <w:rPr>
          <w:rFonts w:hint="eastAsia" w:eastAsia="仿宋_GB2312" w:cs="仿宋_GB2312"/>
          <w:sz w:val="32"/>
          <w:szCs w:val="32"/>
        </w:rPr>
        <w:t>辆，其中：轿车</w:t>
      </w:r>
      <w:r>
        <w:rPr>
          <w:rFonts w:eastAsia="仿宋_GB2312" w:cs="仿宋_GB2312"/>
          <w:sz w:val="32"/>
          <w:szCs w:val="32"/>
        </w:rPr>
        <w:t>0</w:t>
      </w:r>
      <w:r>
        <w:rPr>
          <w:rFonts w:hint="eastAsia" w:eastAsia="仿宋_GB2312" w:cs="仿宋_GB2312"/>
          <w:sz w:val="32"/>
          <w:szCs w:val="32"/>
        </w:rPr>
        <w:t>辆、金额</w:t>
      </w:r>
      <w:r>
        <w:rPr>
          <w:rFonts w:eastAsia="仿宋_GB2312" w:cs="仿宋_GB2312"/>
          <w:sz w:val="32"/>
          <w:szCs w:val="32"/>
        </w:rPr>
        <w:t>0</w:t>
      </w:r>
      <w:r>
        <w:rPr>
          <w:rFonts w:hint="eastAsia" w:eastAsia="仿宋_GB2312" w:cs="仿宋_GB2312"/>
          <w:sz w:val="32"/>
          <w:szCs w:val="32"/>
        </w:rPr>
        <w:t>万元，越野车</w:t>
      </w:r>
      <w:r>
        <w:rPr>
          <w:rFonts w:eastAsia="仿宋_GB2312" w:cs="仿宋_GB2312"/>
          <w:sz w:val="32"/>
          <w:szCs w:val="32"/>
        </w:rPr>
        <w:t>0</w:t>
      </w:r>
      <w:r>
        <w:rPr>
          <w:rFonts w:hint="eastAsia" w:eastAsia="仿宋_GB2312" w:cs="仿宋_GB2312"/>
          <w:sz w:val="32"/>
          <w:szCs w:val="32"/>
        </w:rPr>
        <w:t>辆、金额</w:t>
      </w:r>
      <w:r>
        <w:rPr>
          <w:rFonts w:eastAsia="仿宋_GB2312" w:cs="仿宋_GB2312"/>
          <w:sz w:val="32"/>
          <w:szCs w:val="32"/>
        </w:rPr>
        <w:t>0</w:t>
      </w:r>
      <w:r>
        <w:rPr>
          <w:rFonts w:hint="eastAsia" w:eastAsia="仿宋_GB2312" w:cs="仿宋_GB2312"/>
          <w:sz w:val="32"/>
          <w:szCs w:val="32"/>
        </w:rPr>
        <w:t>万元，载客汽车</w:t>
      </w:r>
      <w:r>
        <w:rPr>
          <w:rFonts w:eastAsia="仿宋_GB2312" w:cs="仿宋_GB2312"/>
          <w:sz w:val="32"/>
          <w:szCs w:val="32"/>
        </w:rPr>
        <w:t>0</w:t>
      </w:r>
      <w:r>
        <w:rPr>
          <w:rFonts w:hint="eastAsia" w:eastAsia="仿宋_GB2312" w:cs="仿宋_GB2312"/>
          <w:sz w:val="32"/>
          <w:szCs w:val="32"/>
        </w:rPr>
        <w:t>辆、金额</w:t>
      </w:r>
      <w:r>
        <w:rPr>
          <w:rFonts w:eastAsia="仿宋_GB2312" w:cs="仿宋_GB2312"/>
          <w:sz w:val="32"/>
          <w:szCs w:val="32"/>
        </w:rPr>
        <w:t>0</w:t>
      </w:r>
      <w:r>
        <w:rPr>
          <w:rFonts w:hint="eastAsia" w:eastAsia="仿宋_GB2312" w:cs="仿宋_GB2312"/>
          <w:sz w:val="32"/>
          <w:szCs w:val="32"/>
        </w:rPr>
        <w:t>万元。截至</w:t>
      </w:r>
      <w:r>
        <w:rPr>
          <w:rFonts w:eastAsia="仿宋_GB2312" w:cs="仿宋_GB2312"/>
          <w:sz w:val="32"/>
          <w:szCs w:val="32"/>
        </w:rPr>
        <w:t>2024</w:t>
      </w:r>
      <w:r>
        <w:rPr>
          <w:rFonts w:hint="eastAsia" w:eastAsia="仿宋_GB2312" w:cs="仿宋_GB2312"/>
          <w:sz w:val="32"/>
          <w:szCs w:val="32"/>
        </w:rPr>
        <w:t>年</w:t>
      </w:r>
      <w:r>
        <w:rPr>
          <w:rFonts w:eastAsia="仿宋_GB2312" w:cs="仿宋_GB2312"/>
          <w:sz w:val="32"/>
          <w:szCs w:val="32"/>
        </w:rPr>
        <w:t>12</w:t>
      </w:r>
      <w:r>
        <w:rPr>
          <w:rFonts w:hint="eastAsia" w:eastAsia="仿宋_GB2312" w:cs="仿宋_GB2312"/>
          <w:sz w:val="32"/>
          <w:szCs w:val="32"/>
        </w:rPr>
        <w:t>月</w:t>
      </w:r>
      <w:r>
        <w:rPr>
          <w:rFonts w:eastAsia="仿宋_GB2312" w:cs="仿宋_GB2312"/>
          <w:sz w:val="32"/>
          <w:szCs w:val="32"/>
        </w:rPr>
        <w:t>31</w:t>
      </w:r>
      <w:r>
        <w:rPr>
          <w:rFonts w:hint="eastAsia" w:eastAsia="仿宋_GB2312" w:cs="仿宋_GB2312"/>
          <w:sz w:val="32"/>
          <w:szCs w:val="32"/>
        </w:rPr>
        <w:t>日，单位共有公务用车</w:t>
      </w:r>
      <w:r>
        <w:rPr>
          <w:rFonts w:eastAsia="仿宋_GB2312" w:cs="仿宋_GB2312"/>
          <w:sz w:val="32"/>
          <w:szCs w:val="32"/>
        </w:rPr>
        <w:t>2</w:t>
      </w:r>
      <w:r>
        <w:rPr>
          <w:rFonts w:hint="eastAsia" w:eastAsia="仿宋_GB2312" w:cs="仿宋_GB2312"/>
          <w:sz w:val="32"/>
          <w:szCs w:val="32"/>
        </w:rPr>
        <w:t>辆，其中：轿车</w:t>
      </w:r>
      <w:r>
        <w:rPr>
          <w:rFonts w:eastAsia="仿宋_GB2312" w:cs="仿宋_GB2312"/>
          <w:sz w:val="32"/>
          <w:szCs w:val="32"/>
        </w:rPr>
        <w:t>2</w:t>
      </w:r>
      <w:r>
        <w:rPr>
          <w:rFonts w:hint="eastAsia" w:eastAsia="仿宋_GB2312" w:cs="仿宋_GB2312"/>
          <w:sz w:val="32"/>
          <w:szCs w:val="32"/>
        </w:rPr>
        <w:t>辆、越野车</w:t>
      </w:r>
      <w:r>
        <w:rPr>
          <w:rFonts w:eastAsia="仿宋_GB2312" w:cs="仿宋_GB2312"/>
          <w:sz w:val="32"/>
          <w:szCs w:val="32"/>
        </w:rPr>
        <w:t>0</w:t>
      </w:r>
      <w:r>
        <w:rPr>
          <w:rFonts w:hint="eastAsia" w:eastAsia="仿宋_GB2312" w:cs="仿宋_GB2312"/>
          <w:sz w:val="32"/>
          <w:szCs w:val="32"/>
        </w:rPr>
        <w:t>辆、载客汽车</w:t>
      </w:r>
      <w:r>
        <w:rPr>
          <w:rFonts w:eastAsia="仿宋_GB2312" w:cs="仿宋_GB2312"/>
          <w:sz w:val="32"/>
          <w:szCs w:val="32"/>
        </w:rPr>
        <w:t>0</w:t>
      </w:r>
      <w:r>
        <w:rPr>
          <w:rFonts w:hint="eastAsia" w:eastAsia="仿宋_GB2312" w:cs="仿宋_GB2312"/>
          <w:sz w:val="32"/>
          <w:szCs w:val="32"/>
        </w:rPr>
        <w:t>辆。</w:t>
      </w:r>
    </w:p>
    <w:p w14:paraId="0ABF9627">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w:t>
      </w:r>
      <w:r>
        <w:rPr>
          <w:rFonts w:ascii="仿宋_GB2312" w:hAnsi="仿宋_GB2312" w:eastAsia="仿宋_GB2312" w:cs="仿宋_GB2312"/>
          <w:sz w:val="32"/>
          <w:szCs w:val="32"/>
        </w:rPr>
        <w:t>0.6</w:t>
      </w:r>
      <w:r>
        <w:rPr>
          <w:rFonts w:hint="eastAsia" w:eastAsia="仿宋_GB2312" w:cs="仿宋_GB2312"/>
          <w:sz w:val="32"/>
          <w:szCs w:val="32"/>
        </w:rPr>
        <w:t>万元。主要用于国有土地现场勘查等所需的公务用车燃料费、维修费、过路过桥费、保险费等支出。</w:t>
      </w:r>
    </w:p>
    <w:p w14:paraId="1EF81FD6">
      <w:pPr>
        <w:spacing w:line="600" w:lineRule="exact"/>
        <w:ind w:firstLine="640"/>
        <w:rPr>
          <w:rFonts w:eastAsia="仿宋_GB2312" w:cs="仿宋_GB2312"/>
          <w:sz w:val="32"/>
          <w:szCs w:val="32"/>
        </w:rPr>
      </w:pPr>
      <w:r>
        <w:rPr>
          <w:rFonts w:eastAsia="仿宋_GB2312" w:cs="仿宋_GB2312"/>
          <w:b/>
          <w:bCs/>
          <w:sz w:val="32"/>
          <w:szCs w:val="32"/>
        </w:rPr>
        <w:t>3.</w:t>
      </w:r>
      <w:r>
        <w:rPr>
          <w:rFonts w:hint="eastAsia" w:eastAsia="仿宋_GB2312" w:cs="仿宋_GB2312"/>
          <w:b/>
          <w:bCs/>
          <w:sz w:val="32"/>
          <w:szCs w:val="32"/>
        </w:rPr>
        <w:t>公务接待费支出</w:t>
      </w:r>
      <w:r>
        <w:rPr>
          <w:rFonts w:ascii="仿宋_GB2312" w:hAnsi="仿宋_GB2312" w:eastAsia="仿宋_GB2312" w:cs="仿宋_GB2312"/>
          <w:b/>
          <w:bCs/>
          <w:sz w:val="32"/>
          <w:szCs w:val="32"/>
        </w:rPr>
        <w:t>0</w:t>
      </w:r>
      <w:r>
        <w:rPr>
          <w:rFonts w:hint="eastAsia" w:ascii="仿宋_GB2312" w:hAnsi="仿宋_GB2312" w:eastAsia="仿宋_GB2312" w:cs="仿宋_GB2312"/>
          <w:b/>
          <w:bCs/>
          <w:sz w:val="32"/>
          <w:szCs w:val="32"/>
        </w:rPr>
        <w:t>万</w:t>
      </w:r>
      <w:r>
        <w:rPr>
          <w:rFonts w:hint="eastAsia" w:eastAsia="仿宋_GB2312" w:cs="仿宋_GB2312"/>
          <w:b/>
          <w:bCs/>
          <w:sz w:val="32"/>
          <w:szCs w:val="32"/>
        </w:rPr>
        <w:t>元，完成预算</w:t>
      </w:r>
      <w:r>
        <w:rPr>
          <w:rFonts w:eastAsia="仿宋_GB2312" w:cs="仿宋_GB2312"/>
          <w:b/>
          <w:bCs/>
          <w:sz w:val="32"/>
          <w:szCs w:val="32"/>
        </w:rPr>
        <w:t>0%</w:t>
      </w:r>
      <w:r>
        <w:rPr>
          <w:rFonts w:hint="eastAsia" w:eastAsia="仿宋_GB2312" w:cs="仿宋_GB2312"/>
          <w:b/>
          <w:bCs/>
          <w:sz w:val="32"/>
          <w:szCs w:val="32"/>
        </w:rPr>
        <w:t>。</w:t>
      </w:r>
      <w:r>
        <w:rPr>
          <w:rFonts w:hint="eastAsia" w:eastAsia="仿宋_GB2312" w:cs="仿宋_GB2312"/>
          <w:sz w:val="32"/>
          <w:szCs w:val="32"/>
        </w:rPr>
        <w:t>公务接待费支出决算比</w:t>
      </w:r>
      <w:r>
        <w:rPr>
          <w:rFonts w:eastAsia="仿宋_GB2312" w:cs="仿宋_GB2312"/>
          <w:sz w:val="32"/>
          <w:szCs w:val="32"/>
        </w:rPr>
        <w:t>2023</w:t>
      </w:r>
      <w:r>
        <w:rPr>
          <w:rFonts w:hint="eastAsia" w:eastAsia="仿宋_GB2312" w:cs="仿宋_GB2312"/>
          <w:sz w:val="32"/>
          <w:szCs w:val="32"/>
        </w:rPr>
        <w:t>年度减少</w:t>
      </w:r>
      <w:r>
        <w:rPr>
          <w:rFonts w:eastAsia="仿宋_GB2312" w:cs="仿宋_GB2312"/>
          <w:sz w:val="32"/>
          <w:szCs w:val="32"/>
        </w:rPr>
        <w:t>0.22</w:t>
      </w:r>
      <w:r>
        <w:rPr>
          <w:rFonts w:hint="eastAsia" w:eastAsia="仿宋_GB2312" w:cs="仿宋_GB2312"/>
          <w:sz w:val="32"/>
          <w:szCs w:val="32"/>
        </w:rPr>
        <w:t>万元，下降</w:t>
      </w:r>
      <w:r>
        <w:rPr>
          <w:rFonts w:eastAsia="仿宋_GB2312" w:cs="仿宋_GB2312"/>
          <w:sz w:val="32"/>
          <w:szCs w:val="32"/>
        </w:rPr>
        <w:t>100%</w:t>
      </w:r>
      <w:r>
        <w:rPr>
          <w:rFonts w:hint="eastAsia" w:eastAsia="仿宋_GB2312" w:cs="仿宋_GB2312"/>
          <w:sz w:val="32"/>
          <w:szCs w:val="32"/>
        </w:rPr>
        <w:t>。主要原因是</w:t>
      </w:r>
      <w:r>
        <w:rPr>
          <w:rFonts w:eastAsia="仿宋_GB2312" w:cs="仿宋_GB2312"/>
          <w:sz w:val="32"/>
          <w:szCs w:val="32"/>
        </w:rPr>
        <w:t>2024</w:t>
      </w:r>
      <w:r>
        <w:rPr>
          <w:rFonts w:hint="eastAsia" w:eastAsia="仿宋_GB2312" w:cs="仿宋_GB2312"/>
          <w:sz w:val="32"/>
          <w:szCs w:val="32"/>
        </w:rPr>
        <w:t>年未有公务接待。</w:t>
      </w:r>
    </w:p>
    <w:p w14:paraId="43970F98">
      <w:pPr>
        <w:spacing w:line="600" w:lineRule="exact"/>
        <w:ind w:firstLine="640"/>
        <w:rPr>
          <w:rFonts w:eastAsia="仿宋_GB2312" w:cs="仿宋_GB2312"/>
          <w:sz w:val="32"/>
          <w:szCs w:val="32"/>
        </w:rPr>
      </w:pPr>
      <w:bookmarkStart w:id="43" w:name="_Toc15396610"/>
      <w:bookmarkStart w:id="44" w:name="_Toc15377218"/>
    </w:p>
    <w:p w14:paraId="76C28A52">
      <w:pPr>
        <w:spacing w:line="600" w:lineRule="exact"/>
        <w:ind w:firstLine="640"/>
        <w:outlineLvl w:val="1"/>
        <w:rPr>
          <w:rStyle w:val="21"/>
          <w:rFonts w:ascii="Times New Roman" w:hAnsi="Times New Roman" w:eastAsia="黑体"/>
        </w:rPr>
      </w:pPr>
      <w:r>
        <w:rPr>
          <w:rFonts w:hint="eastAsia" w:eastAsia="黑体"/>
          <w:sz w:val="32"/>
          <w:szCs w:val="32"/>
        </w:rPr>
        <w:t>八、</w:t>
      </w:r>
      <w:r>
        <w:rPr>
          <w:rStyle w:val="21"/>
          <w:rFonts w:hint="eastAsia" w:ascii="Times New Roman" w:hAnsi="Times New Roman" w:eastAsia="黑体"/>
          <w:b w:val="0"/>
        </w:rPr>
        <w:t>政府性基金预算支出决算情况说明</w:t>
      </w:r>
      <w:bookmarkEnd w:id="43"/>
      <w:bookmarkEnd w:id="44"/>
    </w:p>
    <w:p w14:paraId="095A854D">
      <w:pPr>
        <w:spacing w:line="600" w:lineRule="exact"/>
        <w:ind w:firstLine="640"/>
        <w:rPr>
          <w:rFonts w:eastAsia="仿宋_GB2312" w:cs="仿宋_GB2312"/>
          <w:b/>
          <w:bCs/>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年度政府性基金预算财政拨款支出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0%</w:t>
      </w:r>
      <w:r>
        <w:rPr>
          <w:rFonts w:hint="eastAsia" w:eastAsia="仿宋_GB2312" w:cs="仿宋_GB2312"/>
          <w:sz w:val="32"/>
          <w:szCs w:val="32"/>
        </w:rPr>
        <w:t>。与</w:t>
      </w:r>
      <w:r>
        <w:rPr>
          <w:rFonts w:eastAsia="仿宋_GB2312" w:cs="仿宋_GB2312"/>
          <w:sz w:val="32"/>
          <w:szCs w:val="32"/>
        </w:rPr>
        <w:t>2023</w:t>
      </w:r>
      <w:r>
        <w:rPr>
          <w:rFonts w:hint="eastAsia" w:eastAsia="仿宋_GB2312" w:cs="仿宋_GB2312"/>
          <w:sz w:val="32"/>
          <w:szCs w:val="32"/>
        </w:rPr>
        <w:t>年度相比，政府性基金预算财政拨款支出与</w:t>
      </w:r>
      <w:r>
        <w:rPr>
          <w:rFonts w:eastAsia="仿宋_GB2312" w:cs="仿宋_GB2312"/>
          <w:sz w:val="32"/>
          <w:szCs w:val="32"/>
        </w:rPr>
        <w:t>2023</w:t>
      </w:r>
      <w:r>
        <w:rPr>
          <w:rFonts w:hint="eastAsia" w:eastAsia="仿宋_GB2312" w:cs="仿宋_GB2312"/>
          <w:sz w:val="32"/>
          <w:szCs w:val="32"/>
        </w:rPr>
        <w:t>年度持平。</w:t>
      </w:r>
    </w:p>
    <w:p w14:paraId="1FB8BCB5">
      <w:pPr>
        <w:spacing w:line="600" w:lineRule="exact"/>
        <w:ind w:firstLine="640"/>
        <w:rPr>
          <w:rFonts w:eastAsia="仿宋_GB2312" w:cs="仿宋_GB2312"/>
          <w:sz w:val="32"/>
          <w:szCs w:val="32"/>
        </w:rPr>
      </w:pPr>
    </w:p>
    <w:p w14:paraId="2C496F62">
      <w:pPr>
        <w:spacing w:line="600" w:lineRule="exact"/>
        <w:ind w:left="630"/>
        <w:outlineLvl w:val="1"/>
        <w:rPr>
          <w:rStyle w:val="21"/>
          <w:rFonts w:ascii="Times New Roman" w:hAnsi="Times New Roman" w:eastAsia="黑体"/>
          <w:b w:val="0"/>
        </w:rPr>
      </w:pPr>
      <w:bookmarkStart w:id="45" w:name="_Toc15377219"/>
      <w:bookmarkStart w:id="46" w:name="_Toc15396611"/>
      <w:r>
        <w:rPr>
          <w:rStyle w:val="21"/>
          <w:rFonts w:hint="eastAsia" w:ascii="Times New Roman" w:hAnsi="Times New Roman" w:eastAsia="黑体"/>
          <w:b w:val="0"/>
        </w:rPr>
        <w:t>九、国有资本经营预算支出决算情况说明</w:t>
      </w:r>
      <w:bookmarkEnd w:id="45"/>
      <w:bookmarkEnd w:id="46"/>
    </w:p>
    <w:p w14:paraId="13D5FA9C">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年度国有资本经营预算财政拨款支出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0%</w:t>
      </w:r>
      <w:r>
        <w:rPr>
          <w:rFonts w:hint="eastAsia" w:eastAsia="仿宋_GB2312" w:cs="仿宋_GB2312"/>
          <w:sz w:val="32"/>
          <w:szCs w:val="32"/>
        </w:rPr>
        <w:t>。与</w:t>
      </w:r>
      <w:r>
        <w:rPr>
          <w:rFonts w:eastAsia="仿宋_GB2312" w:cs="仿宋_GB2312"/>
          <w:sz w:val="32"/>
          <w:szCs w:val="32"/>
        </w:rPr>
        <w:t>2023</w:t>
      </w:r>
      <w:r>
        <w:rPr>
          <w:rFonts w:hint="eastAsia" w:eastAsia="仿宋_GB2312" w:cs="仿宋_GB2312"/>
          <w:sz w:val="32"/>
          <w:szCs w:val="32"/>
        </w:rPr>
        <w:t>年度相比，国有资本经营预算财政拨款支出与</w:t>
      </w:r>
      <w:r>
        <w:rPr>
          <w:rFonts w:eastAsia="仿宋_GB2312" w:cs="仿宋_GB2312"/>
          <w:sz w:val="32"/>
          <w:szCs w:val="32"/>
        </w:rPr>
        <w:t>2023</w:t>
      </w:r>
      <w:r>
        <w:rPr>
          <w:rFonts w:hint="eastAsia" w:eastAsia="仿宋_GB2312" w:cs="仿宋_GB2312"/>
          <w:sz w:val="32"/>
          <w:szCs w:val="32"/>
        </w:rPr>
        <w:t>年度持平。</w:t>
      </w:r>
    </w:p>
    <w:p w14:paraId="70115623">
      <w:pPr>
        <w:spacing w:line="600" w:lineRule="exact"/>
        <w:ind w:firstLine="640"/>
        <w:rPr>
          <w:rFonts w:eastAsia="仿宋_GB2312" w:cs="仿宋_GB2312"/>
          <w:sz w:val="32"/>
          <w:szCs w:val="32"/>
        </w:rPr>
      </w:pPr>
    </w:p>
    <w:p w14:paraId="47D36441">
      <w:pPr>
        <w:spacing w:line="600" w:lineRule="exact"/>
        <w:ind w:left="630"/>
        <w:outlineLvl w:val="1"/>
        <w:rPr>
          <w:rStyle w:val="21"/>
          <w:rFonts w:ascii="Times New Roman" w:hAnsi="Times New Roman" w:eastAsia="黑体"/>
          <w:b w:val="0"/>
        </w:rPr>
      </w:pPr>
      <w:bookmarkStart w:id="47" w:name="_Toc15396612"/>
      <w:bookmarkStart w:id="48" w:name="_Toc15377221"/>
      <w:r>
        <w:rPr>
          <w:rStyle w:val="21"/>
          <w:rFonts w:hint="eastAsia" w:ascii="Times New Roman" w:hAnsi="Times New Roman" w:eastAsia="黑体"/>
          <w:b w:val="0"/>
        </w:rPr>
        <w:t>十、其他重要事项的情况说明</w:t>
      </w:r>
      <w:bookmarkEnd w:id="47"/>
      <w:bookmarkEnd w:id="48"/>
    </w:p>
    <w:p w14:paraId="45F2C7AF">
      <w:pPr>
        <w:spacing w:line="600" w:lineRule="exact"/>
        <w:ind w:firstLine="643" w:firstLineChars="200"/>
        <w:outlineLvl w:val="2"/>
        <w:rPr>
          <w:rFonts w:eastAsia="楷体_GB2312" w:cs="楷体_GB2312"/>
          <w:b/>
          <w:sz w:val="32"/>
          <w:szCs w:val="32"/>
        </w:rPr>
      </w:pPr>
      <w:bookmarkStart w:id="49" w:name="_Toc15377222"/>
      <w:r>
        <w:rPr>
          <w:rFonts w:hint="eastAsia" w:eastAsia="楷体_GB2312" w:cs="楷体_GB2312"/>
          <w:b/>
          <w:sz w:val="32"/>
          <w:szCs w:val="32"/>
        </w:rPr>
        <w:t>（一）机关运行经费支出情况</w:t>
      </w:r>
      <w:bookmarkEnd w:id="49"/>
    </w:p>
    <w:p w14:paraId="4B1E55DF">
      <w:pPr>
        <w:spacing w:line="600" w:lineRule="exact"/>
        <w:ind w:firstLine="640"/>
        <w:rPr>
          <w:rFonts w:eastAsia="仿宋_GB2312" w:cs="仿宋_GB2312"/>
          <w:sz w:val="32"/>
          <w:szCs w:val="32"/>
        </w:rPr>
      </w:pPr>
      <w:r>
        <w:rPr>
          <w:rFonts w:eastAsia="仿宋_GB2312" w:cs="仿宋_GB2312"/>
          <w:sz w:val="32"/>
          <w:szCs w:val="32"/>
        </w:rPr>
        <w:t>2024</w:t>
      </w:r>
      <w:r>
        <w:rPr>
          <w:rFonts w:hint="eastAsia" w:eastAsia="仿宋_GB2312" w:cs="仿宋_GB2312"/>
          <w:sz w:val="32"/>
          <w:szCs w:val="32"/>
        </w:rPr>
        <w:t>年度</w:t>
      </w:r>
      <w:r>
        <w:rPr>
          <w:rFonts w:hint="eastAsia" w:ascii="仿宋_GB2312" w:hAnsi="仿宋_GB2312" w:eastAsia="仿宋_GB2312" w:cs="仿宋_GB2312"/>
          <w:sz w:val="32"/>
          <w:szCs w:val="32"/>
        </w:rPr>
        <w:t>，攀枝花市公共资源交易服务中心机关运行经费支出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w:t>
      </w:r>
      <w:r>
        <w:rPr>
          <w:rFonts w:hint="eastAsia" w:eastAsia="仿宋_GB2312" w:cs="仿宋_GB2312"/>
          <w:sz w:val="32"/>
          <w:szCs w:val="32"/>
        </w:rPr>
        <w:t>元，与</w:t>
      </w:r>
      <w:r>
        <w:rPr>
          <w:rFonts w:eastAsia="仿宋_GB2312" w:cs="仿宋_GB2312"/>
          <w:sz w:val="32"/>
          <w:szCs w:val="32"/>
        </w:rPr>
        <w:t>2023</w:t>
      </w:r>
      <w:r>
        <w:rPr>
          <w:rFonts w:hint="eastAsia" w:eastAsia="仿宋_GB2312" w:cs="仿宋_GB2312"/>
          <w:sz w:val="32"/>
          <w:szCs w:val="32"/>
        </w:rPr>
        <w:t>年度决算数持平。</w:t>
      </w:r>
    </w:p>
    <w:p w14:paraId="318CFCCE">
      <w:pPr>
        <w:spacing w:line="600" w:lineRule="exact"/>
        <w:ind w:firstLine="640"/>
        <w:rPr>
          <w:rFonts w:eastAsia="仿宋_GB2312" w:cs="仿宋_GB2312"/>
          <w:sz w:val="32"/>
          <w:szCs w:val="32"/>
        </w:rPr>
      </w:pPr>
    </w:p>
    <w:p w14:paraId="191A1F6D">
      <w:pPr>
        <w:spacing w:line="600" w:lineRule="exact"/>
        <w:ind w:firstLine="643" w:firstLineChars="200"/>
        <w:outlineLvl w:val="2"/>
        <w:rPr>
          <w:rFonts w:eastAsia="楷体_GB2312" w:cs="楷体_GB2312"/>
          <w:b/>
          <w:sz w:val="32"/>
          <w:szCs w:val="32"/>
        </w:rPr>
      </w:pPr>
      <w:bookmarkStart w:id="50" w:name="_Toc15377223"/>
      <w:r>
        <w:rPr>
          <w:rFonts w:hint="eastAsia" w:eastAsia="楷体_GB2312" w:cs="楷体_GB2312"/>
          <w:b/>
          <w:sz w:val="32"/>
          <w:szCs w:val="32"/>
        </w:rPr>
        <w:t>（二）政府采购支出情况</w:t>
      </w:r>
      <w:bookmarkEnd w:id="50"/>
    </w:p>
    <w:p w14:paraId="53B46FB9">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年度，攀枝花市公共资源交易服务中心政府采购支出总额</w:t>
      </w:r>
      <w:r>
        <w:rPr>
          <w:rFonts w:ascii="仿宋_GB2312" w:hAnsi="仿宋_GB2312" w:eastAsia="仿宋_GB2312" w:cs="仿宋_GB2312"/>
          <w:sz w:val="32"/>
          <w:szCs w:val="32"/>
        </w:rPr>
        <w:t>0.63</w:t>
      </w:r>
      <w:r>
        <w:rPr>
          <w:rFonts w:hint="eastAsia" w:ascii="仿宋_GB2312" w:hAnsi="仿宋_GB2312" w:eastAsia="仿宋_GB2312" w:cs="仿宋_GB2312"/>
          <w:sz w:val="32"/>
          <w:szCs w:val="32"/>
        </w:rPr>
        <w:t>万元，其中：政府采购货物支出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万元、政府采购工程支出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万元、政府采购服务支出</w:t>
      </w:r>
      <w:r>
        <w:rPr>
          <w:rFonts w:ascii="仿宋_GB2312" w:hAnsi="仿宋_GB2312" w:eastAsia="仿宋_GB2312" w:cs="仿宋_GB2312"/>
          <w:sz w:val="32"/>
          <w:szCs w:val="32"/>
        </w:rPr>
        <w:t>0.63</w:t>
      </w:r>
      <w:r>
        <w:rPr>
          <w:rFonts w:hint="eastAsia" w:ascii="仿宋_GB2312" w:hAnsi="仿宋_GB2312" w:eastAsia="仿宋_GB2312" w:cs="仿宋_GB2312"/>
          <w:sz w:val="32"/>
          <w:szCs w:val="32"/>
        </w:rPr>
        <w:t>万元。主要用于公务车保险、加油、维修等。授予中小企业合同金额</w:t>
      </w:r>
      <w:r>
        <w:rPr>
          <w:rFonts w:ascii="仿宋_GB2312" w:hAnsi="仿宋_GB2312" w:eastAsia="仿宋_GB2312" w:cs="仿宋_GB2312"/>
          <w:sz w:val="32"/>
          <w:szCs w:val="32"/>
        </w:rPr>
        <w:t>0.31</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48.39%</w:t>
      </w:r>
      <w:r>
        <w:rPr>
          <w:rFonts w:hint="eastAsia" w:ascii="仿宋_GB2312" w:hAnsi="仿宋_GB2312" w:eastAsia="仿宋_GB2312" w:cs="仿宋_GB2312"/>
          <w:sz w:val="32"/>
          <w:szCs w:val="32"/>
        </w:rPr>
        <w:t>，其中：授予小微企业合同金额</w:t>
      </w:r>
      <w:r>
        <w:rPr>
          <w:rFonts w:ascii="仿宋_GB2312" w:hAnsi="仿宋_GB2312" w:eastAsia="仿宋_GB2312" w:cs="仿宋_GB2312"/>
          <w:sz w:val="32"/>
          <w:szCs w:val="32"/>
        </w:rPr>
        <w:t>0.31</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48.39%</w:t>
      </w:r>
      <w:r>
        <w:rPr>
          <w:rFonts w:hint="eastAsia" w:ascii="仿宋_GB2312" w:hAnsi="仿宋_GB2312" w:eastAsia="仿宋_GB2312" w:cs="仿宋_GB2312"/>
          <w:sz w:val="32"/>
          <w:szCs w:val="32"/>
        </w:rPr>
        <w:t>。</w:t>
      </w:r>
    </w:p>
    <w:p w14:paraId="3FA82FA7">
      <w:pPr>
        <w:spacing w:line="600" w:lineRule="exact"/>
        <w:ind w:firstLine="640"/>
        <w:rPr>
          <w:rFonts w:eastAsia="仿宋_GB2312" w:cs="仿宋_GB2312"/>
          <w:sz w:val="32"/>
          <w:szCs w:val="32"/>
        </w:rPr>
      </w:pPr>
    </w:p>
    <w:p w14:paraId="34370233">
      <w:pPr>
        <w:spacing w:line="600" w:lineRule="exact"/>
        <w:ind w:firstLine="643" w:firstLineChars="200"/>
        <w:outlineLvl w:val="2"/>
        <w:rPr>
          <w:rFonts w:eastAsia="楷体_GB2312" w:cs="楷体_GB2312"/>
          <w:b/>
          <w:sz w:val="32"/>
          <w:szCs w:val="32"/>
        </w:rPr>
      </w:pPr>
      <w:bookmarkStart w:id="51" w:name="_Toc15377224"/>
      <w:r>
        <w:rPr>
          <w:rFonts w:hint="eastAsia" w:eastAsia="楷体_GB2312" w:cs="楷体_GB2312"/>
          <w:b/>
          <w:sz w:val="32"/>
          <w:szCs w:val="32"/>
        </w:rPr>
        <w:t>（三）国有资产占有使用情况</w:t>
      </w:r>
      <w:bookmarkEnd w:id="51"/>
    </w:p>
    <w:p w14:paraId="5F5C115D">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日，攀枝花市公共资源交易服务中心共有车辆</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辆，其中：主要负责人用车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辆、机要通信用车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辆、应急保障用车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辆，其他用车主要是用于国有土地现场勘查等。单价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万元（含）以上设备（不含车辆）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r>
        <w:rPr>
          <w:rFonts w:hint="eastAsia" w:eastAsia="仿宋_GB2312" w:cs="仿宋_GB2312"/>
          <w:sz w:val="32"/>
          <w:szCs w:val="32"/>
        </w:rPr>
        <w:t>。</w:t>
      </w:r>
    </w:p>
    <w:p w14:paraId="1A6A22BE">
      <w:pPr>
        <w:spacing w:line="600" w:lineRule="exact"/>
        <w:ind w:firstLine="640"/>
        <w:rPr>
          <w:rFonts w:eastAsia="仿宋_GB2312" w:cs="仿宋_GB2312"/>
          <w:sz w:val="32"/>
          <w:szCs w:val="32"/>
        </w:rPr>
      </w:pPr>
    </w:p>
    <w:p w14:paraId="5868B338">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14:paraId="3E97092A">
      <w:pPr>
        <w:spacing w:line="600" w:lineRule="exact"/>
        <w:ind w:firstLine="640"/>
        <w:rPr>
          <w:rFonts w:eastAsia="仿宋_GB2312" w:cs="仿宋_GB2312"/>
          <w:sz w:val="32"/>
          <w:szCs w:val="32"/>
        </w:rPr>
      </w:pPr>
      <w:r>
        <w:rPr>
          <w:rFonts w:hint="eastAsia" w:eastAsia="仿宋_GB2312" w:cs="仿宋_GB2312"/>
          <w:sz w:val="32"/>
          <w:szCs w:val="32"/>
        </w:rPr>
        <w:t>根据预算绩效管理要求，攀枝花市公共资源交易服务中心在</w:t>
      </w:r>
      <w:r>
        <w:rPr>
          <w:rFonts w:eastAsia="仿宋_GB2312" w:cs="仿宋_GB2312"/>
          <w:sz w:val="32"/>
          <w:szCs w:val="32"/>
        </w:rPr>
        <w:t>2024</w:t>
      </w:r>
      <w:r>
        <w:rPr>
          <w:rFonts w:hint="eastAsia" w:eastAsia="仿宋_GB2312" w:cs="仿宋_GB2312"/>
          <w:sz w:val="32"/>
          <w:szCs w:val="32"/>
        </w:rPr>
        <w:t>年度预算编制阶段，组织对市级挂职干部补助、收入征管成本、网络安全、入驻政务中心单位租金、物业费及水电费等</w:t>
      </w:r>
      <w:r>
        <w:rPr>
          <w:rFonts w:eastAsia="仿宋_GB2312" w:cs="仿宋_GB2312"/>
          <w:sz w:val="32"/>
          <w:szCs w:val="32"/>
        </w:rPr>
        <w:t>4</w:t>
      </w:r>
      <w:r>
        <w:rPr>
          <w:rFonts w:hint="eastAsia" w:eastAsia="仿宋_GB2312" w:cs="仿宋_GB2312"/>
          <w:sz w:val="32"/>
          <w:szCs w:val="32"/>
        </w:rPr>
        <w:t>个项目开展了预算事前绩效评估，对</w:t>
      </w:r>
      <w:r>
        <w:rPr>
          <w:rFonts w:eastAsia="仿宋_GB2312" w:cs="仿宋_GB2312"/>
          <w:sz w:val="32"/>
          <w:szCs w:val="32"/>
        </w:rPr>
        <w:t>4</w:t>
      </w:r>
      <w:r>
        <w:rPr>
          <w:rFonts w:hint="eastAsia" w:eastAsia="仿宋_GB2312" w:cs="仿宋_GB2312"/>
          <w:sz w:val="32"/>
          <w:szCs w:val="32"/>
        </w:rPr>
        <w:t>个项目编制了绩效目标，预算执行过程中，选取</w:t>
      </w:r>
      <w:r>
        <w:rPr>
          <w:rFonts w:eastAsia="仿宋_GB2312" w:cs="仿宋_GB2312"/>
          <w:sz w:val="32"/>
          <w:szCs w:val="32"/>
        </w:rPr>
        <w:t>4</w:t>
      </w:r>
      <w:r>
        <w:rPr>
          <w:rFonts w:hint="eastAsia" w:eastAsia="仿宋_GB2312" w:cs="仿宋_GB2312"/>
          <w:sz w:val="32"/>
          <w:szCs w:val="32"/>
        </w:rPr>
        <w:t>个项目开展绩效监控。</w:t>
      </w:r>
    </w:p>
    <w:p w14:paraId="15B91CB1">
      <w:pPr>
        <w:spacing w:line="600" w:lineRule="exact"/>
        <w:ind w:firstLine="640"/>
        <w:rPr>
          <w:rFonts w:eastAsia="仿宋_GB2312" w:cs="仿宋_GB2312"/>
          <w:sz w:val="32"/>
          <w:szCs w:val="32"/>
        </w:rPr>
      </w:pPr>
    </w:p>
    <w:p w14:paraId="55856AAF">
      <w:pPr>
        <w:spacing w:line="600" w:lineRule="exact"/>
        <w:ind w:firstLine="640"/>
        <w:rPr>
          <w:rFonts w:eastAsia="仿宋_GB2312" w:cs="仿宋_GB2312"/>
          <w:sz w:val="32"/>
          <w:szCs w:val="32"/>
        </w:rPr>
      </w:pPr>
    </w:p>
    <w:p w14:paraId="01C401C6">
      <w:pPr>
        <w:spacing w:line="600" w:lineRule="exact"/>
        <w:jc w:val="center"/>
        <w:outlineLvl w:val="0"/>
        <w:rPr>
          <w:rFonts w:eastAsia="黑体"/>
          <w:sz w:val="44"/>
          <w:szCs w:val="44"/>
        </w:rPr>
      </w:pPr>
      <w:bookmarkStart w:id="52" w:name="_Toc15396613"/>
      <w:bookmarkStart w:id="53" w:name="_Toc15377225"/>
      <w:r>
        <w:rPr>
          <w:rFonts w:hint="eastAsia" w:eastAsia="黑体"/>
          <w:sz w:val="44"/>
          <w:szCs w:val="44"/>
        </w:rPr>
        <w:t>第三部分</w:t>
      </w:r>
      <w:r>
        <w:rPr>
          <w:rFonts w:eastAsia="黑体"/>
          <w:sz w:val="44"/>
          <w:szCs w:val="44"/>
        </w:rPr>
        <w:t xml:space="preserve">  </w:t>
      </w:r>
      <w:r>
        <w:rPr>
          <w:rFonts w:hint="eastAsia" w:eastAsia="黑体"/>
          <w:sz w:val="44"/>
          <w:szCs w:val="44"/>
        </w:rPr>
        <w:t>名词解释</w:t>
      </w:r>
      <w:bookmarkEnd w:id="52"/>
      <w:bookmarkEnd w:id="53"/>
    </w:p>
    <w:p w14:paraId="26C39FB0">
      <w:pPr>
        <w:spacing w:line="600" w:lineRule="exact"/>
        <w:jc w:val="left"/>
        <w:rPr>
          <w:b/>
          <w:sz w:val="44"/>
          <w:szCs w:val="44"/>
        </w:rPr>
      </w:pPr>
    </w:p>
    <w:p w14:paraId="01052CDE">
      <w:pPr>
        <w:spacing w:line="600" w:lineRule="exact"/>
        <w:ind w:firstLine="640"/>
        <w:rPr>
          <w:rFonts w:eastAsia="仿宋_GB2312" w:cs="仿宋_GB2312"/>
          <w:sz w:val="32"/>
          <w:szCs w:val="32"/>
        </w:rPr>
      </w:pPr>
      <w:r>
        <w:rPr>
          <w:rFonts w:eastAsia="仿宋_GB2312" w:cs="仿宋_GB2312"/>
          <w:sz w:val="32"/>
          <w:szCs w:val="32"/>
        </w:rPr>
        <w:t>1.</w:t>
      </w:r>
      <w:r>
        <w:rPr>
          <w:rFonts w:hint="eastAsia" w:eastAsia="仿宋_GB2312" w:cs="仿宋_GB2312"/>
          <w:sz w:val="32"/>
          <w:szCs w:val="32"/>
        </w:rPr>
        <w:t>财政拨款收入：指单位从同级财政部门取得的财政预算资金。</w:t>
      </w:r>
    </w:p>
    <w:p w14:paraId="0A7EBA6A">
      <w:pPr>
        <w:pStyle w:val="15"/>
        <w:shd w:val="clear" w:color="auto" w:fill="FFFFFF"/>
        <w:spacing w:before="0" w:beforeAutospacing="0" w:after="0" w:afterAutospacing="0" w:line="463" w:lineRule="atLeast"/>
        <w:ind w:firstLine="640" w:firstLineChars="200"/>
        <w:jc w:val="both"/>
        <w:textAlignment w:val="center"/>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2.</w:t>
      </w:r>
      <w:r>
        <w:rPr>
          <w:rFonts w:hint="eastAsia" w:ascii="Times New Roman" w:hAnsi="Times New Roman" w:eastAsia="仿宋_GB2312" w:cs="仿宋_GB2312"/>
          <w:kern w:val="2"/>
          <w:sz w:val="32"/>
          <w:szCs w:val="32"/>
        </w:rPr>
        <w:t>年初结转和结余：指以前年度尚未完成、结转到本年按有关规定继续使用的资金。</w:t>
      </w:r>
    </w:p>
    <w:p w14:paraId="39D59928">
      <w:pPr>
        <w:pStyle w:val="15"/>
        <w:shd w:val="clear" w:color="auto" w:fill="FFFFFF"/>
        <w:spacing w:before="0" w:beforeAutospacing="0" w:after="0" w:afterAutospacing="0" w:line="463" w:lineRule="atLeast"/>
        <w:ind w:firstLine="640" w:firstLineChars="200"/>
        <w:jc w:val="both"/>
        <w:textAlignment w:val="center"/>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3.</w:t>
      </w:r>
      <w:r>
        <w:rPr>
          <w:rFonts w:hint="eastAsia" w:ascii="Times New Roman" w:hAnsi="Times New Roman" w:eastAsia="仿宋_GB2312" w:cs="仿宋_GB2312"/>
          <w:kern w:val="2"/>
          <w:sz w:val="32"/>
          <w:szCs w:val="32"/>
        </w:rPr>
        <w:t>结余分配：指事业单位按照会计制度规定缴纳的所得税、提取的专用结余以及转入非财政拨款结余的金额等。</w:t>
      </w:r>
    </w:p>
    <w:p w14:paraId="004A51C9">
      <w:pPr>
        <w:pStyle w:val="15"/>
        <w:shd w:val="clear" w:color="auto" w:fill="FFFFFF"/>
        <w:spacing w:before="0" w:beforeAutospacing="0" w:after="0" w:afterAutospacing="0" w:line="463" w:lineRule="atLeast"/>
        <w:ind w:firstLine="640" w:firstLineChars="200"/>
        <w:jc w:val="both"/>
        <w:textAlignment w:val="center"/>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4.</w:t>
      </w:r>
      <w:r>
        <w:rPr>
          <w:rFonts w:hint="eastAsia" w:ascii="Times New Roman" w:hAnsi="Times New Roman" w:eastAsia="仿宋_GB2312" w:cs="仿宋_GB2312"/>
          <w:kern w:val="2"/>
          <w:sz w:val="32"/>
          <w:szCs w:val="32"/>
        </w:rPr>
        <w:t>年末结转和结余：指单位按有关规定结转到下年或以后年度继续使用的资金。</w:t>
      </w:r>
    </w:p>
    <w:p w14:paraId="00570F57">
      <w:pPr>
        <w:spacing w:line="600" w:lineRule="exact"/>
        <w:ind w:firstLine="640"/>
        <w:rPr>
          <w:rFonts w:eastAsia="仿宋_GB2312" w:cs="仿宋_GB2312"/>
          <w:sz w:val="32"/>
          <w:szCs w:val="32"/>
        </w:rPr>
      </w:pPr>
      <w:r>
        <w:rPr>
          <w:rFonts w:eastAsia="仿宋_GB2312" w:cs="仿宋_GB2312"/>
          <w:sz w:val="32"/>
          <w:szCs w:val="32"/>
        </w:rPr>
        <w:t>5.</w:t>
      </w:r>
      <w:r>
        <w:rPr>
          <w:rFonts w:hint="eastAsia" w:eastAsia="仿宋_GB2312" w:cs="仿宋_GB2312"/>
          <w:sz w:val="32"/>
          <w:szCs w:val="32"/>
        </w:rPr>
        <w:t>一般公共服务（类）</w:t>
      </w:r>
      <w:r>
        <w:rPr>
          <w:rFonts w:eastAsia="仿宋_GB2312" w:cs="仿宋_GB2312"/>
          <w:sz w:val="32"/>
          <w:szCs w:val="32"/>
        </w:rPr>
        <w:t>03</w:t>
      </w:r>
      <w:r>
        <w:rPr>
          <w:rFonts w:hint="eastAsia" w:eastAsia="仿宋_GB2312" w:cs="仿宋_GB2312"/>
          <w:sz w:val="32"/>
          <w:szCs w:val="32"/>
        </w:rPr>
        <w:t>（款）</w:t>
      </w:r>
      <w:r>
        <w:rPr>
          <w:rFonts w:eastAsia="仿宋_GB2312" w:cs="仿宋_GB2312"/>
          <w:sz w:val="32"/>
          <w:szCs w:val="32"/>
        </w:rPr>
        <w:t>02</w:t>
      </w:r>
      <w:r>
        <w:rPr>
          <w:rFonts w:hint="eastAsia" w:eastAsia="仿宋_GB2312" w:cs="仿宋_GB2312"/>
          <w:sz w:val="32"/>
          <w:szCs w:val="32"/>
        </w:rPr>
        <w:t>（项）：指行政单位（包括实行公务员管理的事业单位）未单独设置级科目的其他项目支出。</w:t>
      </w:r>
    </w:p>
    <w:p w14:paraId="2BAF8BCC">
      <w:pPr>
        <w:spacing w:line="600" w:lineRule="exact"/>
        <w:ind w:firstLine="640"/>
        <w:rPr>
          <w:rFonts w:eastAsia="仿宋_GB2312" w:cs="仿宋_GB2312"/>
          <w:sz w:val="32"/>
          <w:szCs w:val="32"/>
        </w:rPr>
      </w:pPr>
      <w:r>
        <w:rPr>
          <w:rFonts w:eastAsia="仿宋_GB2312" w:cs="仿宋_GB2312"/>
          <w:sz w:val="32"/>
          <w:szCs w:val="32"/>
        </w:rPr>
        <w:t>6.</w:t>
      </w:r>
      <w:r>
        <w:rPr>
          <w:rFonts w:hint="eastAsia" w:eastAsia="仿宋_GB2312" w:cs="仿宋_GB2312"/>
          <w:sz w:val="32"/>
          <w:szCs w:val="32"/>
        </w:rPr>
        <w:t>一般公共服务（类）</w:t>
      </w:r>
      <w:r>
        <w:rPr>
          <w:rFonts w:eastAsia="仿宋_GB2312" w:cs="仿宋_GB2312"/>
          <w:sz w:val="32"/>
          <w:szCs w:val="32"/>
        </w:rPr>
        <w:t>03</w:t>
      </w:r>
      <w:r>
        <w:rPr>
          <w:rFonts w:hint="eastAsia" w:eastAsia="仿宋_GB2312" w:cs="仿宋_GB2312"/>
          <w:sz w:val="32"/>
          <w:szCs w:val="32"/>
        </w:rPr>
        <w:t>（款）</w:t>
      </w:r>
      <w:r>
        <w:rPr>
          <w:rFonts w:eastAsia="仿宋_GB2312" w:cs="仿宋_GB2312"/>
          <w:sz w:val="32"/>
          <w:szCs w:val="32"/>
        </w:rPr>
        <w:t>50</w:t>
      </w:r>
      <w:r>
        <w:rPr>
          <w:rFonts w:hint="eastAsia" w:eastAsia="仿宋_GB2312" w:cs="仿宋_GB2312"/>
          <w:sz w:val="32"/>
          <w:szCs w:val="32"/>
        </w:rPr>
        <w:t>（项）：反映事业单位的基本支出，不包括行政单位（包括实行公务员管理事业单位）后勤服务中心、医务室等附属事业单位。</w:t>
      </w:r>
    </w:p>
    <w:p w14:paraId="14940EBB">
      <w:pPr>
        <w:spacing w:line="600" w:lineRule="exact"/>
        <w:ind w:firstLine="640"/>
        <w:rPr>
          <w:rFonts w:eastAsia="仿宋_GB2312" w:cs="仿宋_GB2312"/>
          <w:sz w:val="32"/>
          <w:szCs w:val="32"/>
        </w:rPr>
      </w:pPr>
      <w:r>
        <w:rPr>
          <w:rFonts w:eastAsia="仿宋_GB2312" w:cs="仿宋_GB2312"/>
          <w:sz w:val="32"/>
          <w:szCs w:val="32"/>
        </w:rPr>
        <w:t>7.</w:t>
      </w:r>
      <w:r>
        <w:rPr>
          <w:rFonts w:hint="eastAsia" w:eastAsia="仿宋_GB2312" w:cs="仿宋_GB2312"/>
          <w:sz w:val="32"/>
          <w:szCs w:val="32"/>
        </w:rPr>
        <w:t>一般公共服务（类）</w:t>
      </w:r>
      <w:r>
        <w:rPr>
          <w:rFonts w:eastAsia="仿宋_GB2312" w:cs="仿宋_GB2312"/>
          <w:sz w:val="32"/>
          <w:szCs w:val="32"/>
        </w:rPr>
        <w:t>32</w:t>
      </w:r>
      <w:r>
        <w:rPr>
          <w:rFonts w:hint="eastAsia" w:eastAsia="仿宋_GB2312" w:cs="仿宋_GB2312"/>
          <w:sz w:val="32"/>
          <w:szCs w:val="32"/>
        </w:rPr>
        <w:t>（款）</w:t>
      </w:r>
      <w:r>
        <w:rPr>
          <w:rFonts w:eastAsia="仿宋_GB2312" w:cs="仿宋_GB2312"/>
          <w:sz w:val="32"/>
          <w:szCs w:val="32"/>
        </w:rPr>
        <w:t>99</w:t>
      </w:r>
      <w:r>
        <w:rPr>
          <w:rFonts w:hint="eastAsia" w:eastAsia="仿宋_GB2312" w:cs="仿宋_GB2312"/>
          <w:sz w:val="32"/>
          <w:szCs w:val="32"/>
        </w:rPr>
        <w:t>（项）：反映除行政运行、一般行政管理事务、机关服务、公务员事务、事业运行外其他用于中国共产党组织部门的事务支出。</w:t>
      </w:r>
    </w:p>
    <w:p w14:paraId="12137345">
      <w:pPr>
        <w:spacing w:line="600" w:lineRule="exact"/>
        <w:ind w:firstLine="640"/>
        <w:rPr>
          <w:rFonts w:eastAsia="仿宋_GB2312" w:cs="仿宋_GB2312"/>
          <w:sz w:val="32"/>
          <w:szCs w:val="32"/>
        </w:rPr>
      </w:pPr>
      <w:r>
        <w:rPr>
          <w:rFonts w:eastAsia="仿宋_GB2312" w:cs="仿宋_GB2312"/>
          <w:sz w:val="32"/>
          <w:szCs w:val="32"/>
        </w:rPr>
        <w:t>8.</w:t>
      </w:r>
      <w:r>
        <w:t xml:space="preserve"> </w:t>
      </w:r>
      <w:r>
        <w:rPr>
          <w:rFonts w:hint="eastAsia" w:eastAsia="仿宋_GB2312" w:cs="仿宋_GB2312"/>
          <w:sz w:val="32"/>
          <w:szCs w:val="32"/>
        </w:rPr>
        <w:t>社会保障和就业支出（类）</w:t>
      </w:r>
      <w:r>
        <w:rPr>
          <w:rFonts w:eastAsia="仿宋_GB2312" w:cs="仿宋_GB2312"/>
          <w:sz w:val="32"/>
          <w:szCs w:val="32"/>
        </w:rPr>
        <w:t>05</w:t>
      </w:r>
      <w:r>
        <w:rPr>
          <w:rFonts w:hint="eastAsia" w:eastAsia="仿宋_GB2312" w:cs="仿宋_GB2312"/>
          <w:sz w:val="32"/>
          <w:szCs w:val="32"/>
        </w:rPr>
        <w:t>（款）</w:t>
      </w:r>
      <w:r>
        <w:rPr>
          <w:rFonts w:eastAsia="仿宋_GB2312" w:cs="仿宋_GB2312"/>
          <w:sz w:val="32"/>
          <w:szCs w:val="32"/>
        </w:rPr>
        <w:t>02</w:t>
      </w:r>
      <w:r>
        <w:rPr>
          <w:rFonts w:hint="eastAsia" w:eastAsia="仿宋_GB2312" w:cs="仿宋_GB2312"/>
          <w:sz w:val="32"/>
          <w:szCs w:val="32"/>
        </w:rPr>
        <w:t>（项）：反映事业单位开支的离退休经费。</w:t>
      </w:r>
    </w:p>
    <w:p w14:paraId="16208F1C">
      <w:pPr>
        <w:spacing w:line="600" w:lineRule="exact"/>
        <w:ind w:firstLine="640"/>
        <w:rPr>
          <w:rFonts w:eastAsia="仿宋_GB2312" w:cs="仿宋_GB2312"/>
          <w:sz w:val="32"/>
          <w:szCs w:val="32"/>
        </w:rPr>
      </w:pPr>
      <w:r>
        <w:rPr>
          <w:rFonts w:eastAsia="仿宋_GB2312" w:cs="仿宋_GB2312"/>
          <w:sz w:val="32"/>
          <w:szCs w:val="32"/>
        </w:rPr>
        <w:t xml:space="preserve">9. </w:t>
      </w:r>
      <w:r>
        <w:rPr>
          <w:rFonts w:hint="eastAsia" w:eastAsia="仿宋_GB2312" w:cs="仿宋_GB2312"/>
          <w:sz w:val="32"/>
          <w:szCs w:val="32"/>
        </w:rPr>
        <w:t>社会保障和就业支出（类）</w:t>
      </w:r>
      <w:r>
        <w:rPr>
          <w:rFonts w:eastAsia="仿宋_GB2312" w:cs="仿宋_GB2312"/>
          <w:sz w:val="32"/>
          <w:szCs w:val="32"/>
        </w:rPr>
        <w:t>05</w:t>
      </w:r>
      <w:r>
        <w:rPr>
          <w:rFonts w:hint="eastAsia" w:eastAsia="仿宋_GB2312" w:cs="仿宋_GB2312"/>
          <w:sz w:val="32"/>
          <w:szCs w:val="32"/>
        </w:rPr>
        <w:t>（款）</w:t>
      </w:r>
      <w:r>
        <w:rPr>
          <w:rFonts w:eastAsia="仿宋_GB2312" w:cs="仿宋_GB2312"/>
          <w:sz w:val="32"/>
          <w:szCs w:val="32"/>
        </w:rPr>
        <w:t>05</w:t>
      </w:r>
      <w:r>
        <w:rPr>
          <w:rFonts w:hint="eastAsia" w:eastAsia="仿宋_GB2312" w:cs="仿宋_GB2312"/>
          <w:sz w:val="32"/>
          <w:szCs w:val="32"/>
        </w:rPr>
        <w:t>（项）：指机关事业单位实施养老保险制度由单位缴纳的基本养老保险费支出。</w:t>
      </w:r>
    </w:p>
    <w:p w14:paraId="1F44BC44">
      <w:pPr>
        <w:spacing w:line="600" w:lineRule="exact"/>
        <w:ind w:firstLine="640"/>
        <w:rPr>
          <w:rFonts w:eastAsia="仿宋_GB2312" w:cs="仿宋_GB2312"/>
          <w:sz w:val="32"/>
          <w:szCs w:val="32"/>
        </w:rPr>
      </w:pPr>
      <w:r>
        <w:rPr>
          <w:rFonts w:eastAsia="仿宋_GB2312" w:cs="仿宋_GB2312"/>
          <w:sz w:val="32"/>
          <w:szCs w:val="32"/>
        </w:rPr>
        <w:t>10.</w:t>
      </w:r>
      <w:r>
        <w:t xml:space="preserve"> </w:t>
      </w:r>
      <w:r>
        <w:rPr>
          <w:rFonts w:hint="eastAsia" w:eastAsia="仿宋_GB2312" w:cs="仿宋_GB2312"/>
          <w:sz w:val="32"/>
          <w:szCs w:val="32"/>
        </w:rPr>
        <w:t>卫生健康支出（类）</w:t>
      </w:r>
      <w:r>
        <w:rPr>
          <w:rFonts w:eastAsia="仿宋_GB2312" w:cs="仿宋_GB2312"/>
          <w:sz w:val="32"/>
          <w:szCs w:val="32"/>
        </w:rPr>
        <w:t>11</w:t>
      </w:r>
      <w:r>
        <w:rPr>
          <w:rFonts w:hint="eastAsia" w:eastAsia="仿宋_GB2312" w:cs="仿宋_GB2312"/>
          <w:sz w:val="32"/>
          <w:szCs w:val="32"/>
        </w:rPr>
        <w:t>（款）</w:t>
      </w:r>
      <w:r>
        <w:rPr>
          <w:rFonts w:eastAsia="仿宋_GB2312" w:cs="仿宋_GB2312"/>
          <w:sz w:val="32"/>
          <w:szCs w:val="32"/>
        </w:rPr>
        <w:t>02</w:t>
      </w:r>
      <w:r>
        <w:rPr>
          <w:rFonts w:hint="eastAsia" w:eastAsia="仿宋_GB2312" w:cs="仿宋_GB2312"/>
          <w:sz w:val="32"/>
          <w:szCs w:val="32"/>
        </w:rPr>
        <w:t>（项）：指财政部门安排的事业单位基本医疗保险缴费经费，未参加医疗保险的事业单位的公费医疗经费，按国家规定享受离休人员待遇的医疗经费。</w:t>
      </w:r>
    </w:p>
    <w:p w14:paraId="4C8DC212">
      <w:pPr>
        <w:spacing w:line="600" w:lineRule="exact"/>
        <w:ind w:firstLine="640"/>
        <w:rPr>
          <w:rFonts w:eastAsia="仿宋_GB2312" w:cs="仿宋_GB2312"/>
          <w:sz w:val="32"/>
          <w:szCs w:val="32"/>
        </w:rPr>
      </w:pPr>
      <w:r>
        <w:rPr>
          <w:rFonts w:eastAsia="仿宋_GB2312" w:cs="仿宋_GB2312"/>
          <w:sz w:val="32"/>
          <w:szCs w:val="32"/>
        </w:rPr>
        <w:t xml:space="preserve">11. </w:t>
      </w:r>
      <w:r>
        <w:rPr>
          <w:rFonts w:hint="eastAsia" w:eastAsia="仿宋_GB2312" w:cs="仿宋_GB2312"/>
          <w:sz w:val="32"/>
          <w:szCs w:val="32"/>
        </w:rPr>
        <w:t>卫生健康支出（类）</w:t>
      </w:r>
      <w:r>
        <w:rPr>
          <w:rFonts w:eastAsia="仿宋_GB2312" w:cs="仿宋_GB2312"/>
          <w:sz w:val="32"/>
          <w:szCs w:val="32"/>
        </w:rPr>
        <w:t>11</w:t>
      </w:r>
      <w:r>
        <w:rPr>
          <w:rFonts w:hint="eastAsia" w:eastAsia="仿宋_GB2312" w:cs="仿宋_GB2312"/>
          <w:sz w:val="32"/>
          <w:szCs w:val="32"/>
        </w:rPr>
        <w:t>（款）</w:t>
      </w:r>
      <w:r>
        <w:rPr>
          <w:rFonts w:eastAsia="仿宋_GB2312" w:cs="仿宋_GB2312"/>
          <w:sz w:val="32"/>
          <w:szCs w:val="32"/>
        </w:rPr>
        <w:t>03</w:t>
      </w:r>
      <w:r>
        <w:rPr>
          <w:rFonts w:hint="eastAsia" w:eastAsia="仿宋_GB2312" w:cs="仿宋_GB2312"/>
          <w:sz w:val="32"/>
          <w:szCs w:val="32"/>
        </w:rPr>
        <w:t>（项）：指财政部门安排的公务员医疗补助经费。</w:t>
      </w:r>
    </w:p>
    <w:p w14:paraId="74D40E6B">
      <w:pPr>
        <w:spacing w:line="600" w:lineRule="exact"/>
        <w:ind w:firstLine="640"/>
        <w:rPr>
          <w:rFonts w:eastAsia="仿宋_GB2312" w:cs="仿宋_GB2312"/>
          <w:sz w:val="32"/>
          <w:szCs w:val="32"/>
        </w:rPr>
      </w:pPr>
      <w:r>
        <w:rPr>
          <w:rFonts w:eastAsia="仿宋_GB2312" w:cs="仿宋_GB2312"/>
          <w:sz w:val="32"/>
          <w:szCs w:val="32"/>
        </w:rPr>
        <w:t xml:space="preserve">12. </w:t>
      </w:r>
      <w:r>
        <w:rPr>
          <w:rFonts w:hint="eastAsia" w:eastAsia="仿宋_GB2312" w:cs="仿宋_GB2312"/>
          <w:sz w:val="32"/>
          <w:szCs w:val="32"/>
        </w:rPr>
        <w:t>卫生健康支出（类）</w:t>
      </w:r>
      <w:r>
        <w:rPr>
          <w:rFonts w:eastAsia="仿宋_GB2312" w:cs="仿宋_GB2312"/>
          <w:sz w:val="32"/>
          <w:szCs w:val="32"/>
        </w:rPr>
        <w:t>11</w:t>
      </w:r>
      <w:r>
        <w:rPr>
          <w:rFonts w:hint="eastAsia" w:eastAsia="仿宋_GB2312" w:cs="仿宋_GB2312"/>
          <w:sz w:val="32"/>
          <w:szCs w:val="32"/>
        </w:rPr>
        <w:t>（款）</w:t>
      </w:r>
      <w:r>
        <w:rPr>
          <w:rFonts w:eastAsia="仿宋_GB2312" w:cs="仿宋_GB2312"/>
          <w:sz w:val="32"/>
          <w:szCs w:val="32"/>
        </w:rPr>
        <w:t>99</w:t>
      </w:r>
      <w:r>
        <w:rPr>
          <w:rFonts w:hint="eastAsia" w:eastAsia="仿宋_GB2312" w:cs="仿宋_GB2312"/>
          <w:sz w:val="32"/>
          <w:szCs w:val="32"/>
        </w:rPr>
        <w:t>（项）：指除行政事业医疗、事业单位医疗、公务员医疗补助以外的其他用于行政事业单位医疗方面的支出。</w:t>
      </w:r>
    </w:p>
    <w:p w14:paraId="1474C73F">
      <w:pPr>
        <w:spacing w:line="600" w:lineRule="exact"/>
        <w:ind w:firstLine="640"/>
        <w:rPr>
          <w:rFonts w:eastAsia="仿宋_GB2312" w:cs="仿宋_GB2312"/>
          <w:sz w:val="32"/>
          <w:szCs w:val="32"/>
        </w:rPr>
      </w:pPr>
      <w:r>
        <w:rPr>
          <w:rFonts w:eastAsia="仿宋_GB2312" w:cs="仿宋_GB2312"/>
          <w:sz w:val="32"/>
          <w:szCs w:val="32"/>
        </w:rPr>
        <w:t>13.</w:t>
      </w:r>
      <w:r>
        <w:t xml:space="preserve"> </w:t>
      </w:r>
      <w:r>
        <w:rPr>
          <w:rFonts w:hint="eastAsia" w:eastAsia="仿宋_GB2312" w:cs="仿宋_GB2312"/>
          <w:sz w:val="32"/>
          <w:szCs w:val="32"/>
        </w:rPr>
        <w:t>住房保障支出（类）</w:t>
      </w:r>
      <w:r>
        <w:rPr>
          <w:rFonts w:eastAsia="仿宋_GB2312" w:cs="仿宋_GB2312"/>
          <w:sz w:val="32"/>
          <w:szCs w:val="32"/>
        </w:rPr>
        <w:t>02</w:t>
      </w:r>
      <w:r>
        <w:rPr>
          <w:rFonts w:hint="eastAsia" w:eastAsia="仿宋_GB2312" w:cs="仿宋_GB2312"/>
          <w:sz w:val="32"/>
          <w:szCs w:val="32"/>
        </w:rPr>
        <w:t>（款）</w:t>
      </w:r>
      <w:r>
        <w:rPr>
          <w:rFonts w:eastAsia="仿宋_GB2312" w:cs="仿宋_GB2312"/>
          <w:sz w:val="32"/>
          <w:szCs w:val="32"/>
        </w:rPr>
        <w:t>01</w:t>
      </w:r>
      <w:r>
        <w:rPr>
          <w:rFonts w:hint="eastAsia" w:eastAsia="仿宋_GB2312" w:cs="仿宋_GB2312"/>
          <w:sz w:val="32"/>
          <w:szCs w:val="32"/>
        </w:rPr>
        <w:t>（项）：指按人力资源和社会保障部、财政部规定的基本工资和津贴补贴以及规定比例为职工缴纳的住房公积金。</w:t>
      </w:r>
    </w:p>
    <w:p w14:paraId="38EAE70E">
      <w:pPr>
        <w:spacing w:line="600" w:lineRule="exact"/>
        <w:ind w:firstLine="640"/>
        <w:rPr>
          <w:rFonts w:eastAsia="仿宋_GB2312" w:cs="仿宋_GB2312"/>
          <w:sz w:val="32"/>
          <w:szCs w:val="32"/>
        </w:rPr>
      </w:pPr>
      <w:r>
        <w:rPr>
          <w:rFonts w:eastAsia="仿宋_GB2312" w:cs="仿宋_GB2312"/>
          <w:sz w:val="32"/>
          <w:szCs w:val="32"/>
        </w:rPr>
        <w:t>14.</w:t>
      </w:r>
      <w:r>
        <w:rPr>
          <w:rFonts w:hint="eastAsia" w:eastAsia="仿宋_GB2312" w:cs="仿宋_GB2312"/>
          <w:sz w:val="32"/>
          <w:szCs w:val="32"/>
        </w:rPr>
        <w:t>基本支出：指为保障机构正常运转、完成日常工作任务而发生的人员支出和公用支出。</w:t>
      </w:r>
    </w:p>
    <w:p w14:paraId="2BE011B4">
      <w:pPr>
        <w:spacing w:line="600" w:lineRule="exact"/>
        <w:ind w:firstLine="640"/>
        <w:rPr>
          <w:rFonts w:eastAsia="仿宋_GB2312" w:cs="仿宋_GB2312"/>
          <w:sz w:val="32"/>
          <w:szCs w:val="32"/>
        </w:rPr>
      </w:pPr>
      <w:r>
        <w:rPr>
          <w:rFonts w:eastAsia="仿宋_GB2312" w:cs="仿宋_GB2312"/>
          <w:sz w:val="32"/>
          <w:szCs w:val="32"/>
        </w:rPr>
        <w:t>15.</w:t>
      </w:r>
      <w:r>
        <w:rPr>
          <w:rFonts w:hint="eastAsia" w:eastAsia="仿宋_GB2312" w:cs="仿宋_GB2312"/>
          <w:sz w:val="32"/>
          <w:szCs w:val="32"/>
        </w:rPr>
        <w:t>项目支出：指在基本支出之外为完成特定行政任务和事业发展目标所发生的支出。</w:t>
      </w:r>
      <w:r>
        <w:rPr>
          <w:rFonts w:eastAsia="仿宋_GB2312" w:cs="仿宋_GB2312"/>
          <w:sz w:val="32"/>
          <w:szCs w:val="32"/>
        </w:rPr>
        <w:t xml:space="preserve"> </w:t>
      </w:r>
    </w:p>
    <w:p w14:paraId="25F1FA49">
      <w:pPr>
        <w:spacing w:line="600" w:lineRule="exact"/>
        <w:ind w:firstLine="640"/>
        <w:rPr>
          <w:rFonts w:eastAsia="仿宋_GB2312" w:cs="仿宋_GB2312"/>
          <w:sz w:val="32"/>
          <w:szCs w:val="32"/>
        </w:rPr>
      </w:pPr>
      <w:r>
        <w:rPr>
          <w:rFonts w:eastAsia="仿宋_GB2312" w:cs="仿宋_GB2312"/>
          <w:sz w:val="32"/>
          <w:szCs w:val="32"/>
        </w:rPr>
        <w:t>16.</w:t>
      </w:r>
      <w:r>
        <w:rPr>
          <w:rFonts w:hint="eastAsia"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D8DF241">
      <w:pPr>
        <w:spacing w:line="600" w:lineRule="exact"/>
        <w:ind w:firstLine="640"/>
        <w:rPr>
          <w:rFonts w:eastAsia="仿宋_GB2312" w:cs="仿宋_GB2312"/>
          <w:sz w:val="32"/>
          <w:szCs w:val="32"/>
        </w:rPr>
      </w:pPr>
      <w:r>
        <w:rPr>
          <w:rFonts w:eastAsia="仿宋_GB2312" w:cs="仿宋_GB2312"/>
          <w:sz w:val="32"/>
          <w:szCs w:val="32"/>
        </w:rPr>
        <w:t>17.</w:t>
      </w:r>
      <w:r>
        <w:rPr>
          <w:rFonts w:hint="eastAsia"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03503B8">
      <w:pPr>
        <w:spacing w:line="600" w:lineRule="exact"/>
        <w:jc w:val="center"/>
        <w:rPr>
          <w:rStyle w:val="20"/>
          <w:rFonts w:eastAsia="黑体"/>
          <w:b w:val="0"/>
        </w:rPr>
      </w:pPr>
      <w:bookmarkStart w:id="54" w:name="_Toc15377226"/>
      <w:r>
        <w:rPr>
          <w:rFonts w:eastAsia="仿宋_GB2312" w:cs="仿宋_GB2312"/>
          <w:sz w:val="32"/>
          <w:szCs w:val="32"/>
        </w:rPr>
        <w:br w:type="page"/>
      </w:r>
      <w:bookmarkStart w:id="55" w:name="_Toc15396614"/>
      <w:r>
        <w:rPr>
          <w:rFonts w:hint="eastAsia" w:eastAsia="黑体"/>
          <w:sz w:val="44"/>
          <w:szCs w:val="44"/>
        </w:rPr>
        <w:t>第四部分</w:t>
      </w:r>
      <w:r>
        <w:rPr>
          <w:rFonts w:eastAsia="黑体"/>
          <w:sz w:val="44"/>
          <w:szCs w:val="44"/>
        </w:rPr>
        <w:t xml:space="preserve">  </w:t>
      </w:r>
      <w:r>
        <w:rPr>
          <w:rFonts w:hint="eastAsia" w:eastAsia="黑体"/>
          <w:sz w:val="44"/>
          <w:szCs w:val="44"/>
        </w:rPr>
        <w:t>附件</w:t>
      </w:r>
      <w:bookmarkEnd w:id="55"/>
    </w:p>
    <w:p w14:paraId="2D3138DC">
      <w:pPr>
        <w:spacing w:line="572" w:lineRule="exact"/>
        <w:jc w:val="left"/>
        <w:outlineLvl w:val="0"/>
        <w:rPr>
          <w:rFonts w:eastAsia="黑体" w:cs="黑体"/>
          <w:color w:val="FF0000"/>
          <w:sz w:val="32"/>
          <w:szCs w:val="32"/>
        </w:rPr>
      </w:pPr>
    </w:p>
    <w:p w14:paraId="7991B9E1">
      <w:pPr>
        <w:spacing w:line="572" w:lineRule="exact"/>
        <w:jc w:val="center"/>
        <w:outlineLvl w:val="0"/>
        <w:rPr>
          <w:rFonts w:eastAsia="黑体" w:cs="黑体"/>
          <w:sz w:val="32"/>
          <w:szCs w:val="32"/>
        </w:rPr>
      </w:pPr>
      <w:r>
        <w:rPr>
          <w:rFonts w:hint="eastAsia" w:eastAsia="黑体" w:cs="黑体"/>
          <w:sz w:val="32"/>
          <w:szCs w:val="32"/>
        </w:rPr>
        <w:t>部门预算项目支出绩效自评表（</w:t>
      </w:r>
      <w:r>
        <w:rPr>
          <w:rFonts w:eastAsia="黑体" w:cs="黑体"/>
          <w:sz w:val="32"/>
          <w:szCs w:val="32"/>
        </w:rPr>
        <w:t>2024</w:t>
      </w:r>
      <w:r>
        <w:rPr>
          <w:rFonts w:hint="eastAsia" w:eastAsia="黑体" w:cs="黑体"/>
          <w:sz w:val="32"/>
          <w:szCs w:val="32"/>
        </w:rPr>
        <w:t>年度）见附件</w:t>
      </w:r>
      <w:r>
        <w:rPr>
          <w:rFonts w:eastAsia="黑体" w:cs="黑体"/>
          <w:sz w:val="32"/>
          <w:szCs w:val="32"/>
        </w:rPr>
        <w:t>3</w:t>
      </w:r>
    </w:p>
    <w:p w14:paraId="27A74C4E">
      <w:pPr>
        <w:spacing w:line="578" w:lineRule="exact"/>
        <w:ind w:firstLine="640"/>
        <w:rPr>
          <w:rFonts w:eastAsia="仿宋_GB2312" w:cs="仿宋_GB2312"/>
          <w:kern w:val="0"/>
          <w:sz w:val="32"/>
          <w:szCs w:val="32"/>
        </w:rPr>
      </w:pPr>
      <w:bookmarkStart w:id="56" w:name="_Toc15396618"/>
    </w:p>
    <w:p w14:paraId="0D8DD59A">
      <w:pPr>
        <w:widowControl/>
        <w:jc w:val="center"/>
        <w:rPr>
          <w:rFonts w:eastAsia="仿宋"/>
        </w:rPr>
      </w:pPr>
      <w:r>
        <w:rPr>
          <w:rFonts w:hint="eastAsia" w:eastAsia="黑体"/>
          <w:sz w:val="44"/>
          <w:szCs w:val="44"/>
        </w:rPr>
        <w:t>第</w:t>
      </w:r>
      <w:r>
        <w:rPr>
          <w:rStyle w:val="20"/>
          <w:rFonts w:hint="eastAsia" w:eastAsia="黑体"/>
          <w:b w:val="0"/>
        </w:rPr>
        <w:t>五部分</w:t>
      </w:r>
      <w:r>
        <w:rPr>
          <w:rStyle w:val="20"/>
          <w:rFonts w:eastAsia="黑体"/>
          <w:b w:val="0"/>
        </w:rPr>
        <w:t xml:space="preserve"> </w:t>
      </w:r>
      <w:r>
        <w:rPr>
          <w:rStyle w:val="20"/>
          <w:rFonts w:hint="eastAsia" w:eastAsia="黑体"/>
          <w:b w:val="0"/>
        </w:rPr>
        <w:t>附表</w:t>
      </w:r>
      <w:bookmarkEnd w:id="54"/>
      <w:bookmarkEnd w:id="56"/>
      <w:bookmarkStart w:id="57" w:name="_Toc15396619"/>
    </w:p>
    <w:p w14:paraId="44C098DB">
      <w:pPr>
        <w:pStyle w:val="14"/>
        <w:adjustRightInd w:val="0"/>
        <w:snapToGrid w:val="0"/>
        <w:spacing w:line="560" w:lineRule="exact"/>
        <w:jc w:val="left"/>
        <w:rPr>
          <w:rFonts w:eastAsia="仿宋_GB2312" w:cs="仿宋_GB2312"/>
          <w:sz w:val="32"/>
          <w:szCs w:val="32"/>
        </w:rPr>
      </w:pPr>
    </w:p>
    <w:p w14:paraId="037CC0A4">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57"/>
    </w:p>
    <w:p w14:paraId="1CCB3F26">
      <w:pPr>
        <w:pStyle w:val="14"/>
        <w:adjustRightInd w:val="0"/>
        <w:snapToGrid w:val="0"/>
        <w:spacing w:line="560" w:lineRule="exact"/>
        <w:jc w:val="left"/>
        <w:rPr>
          <w:rFonts w:eastAsia="仿宋_GB2312" w:cs="仿宋_GB2312"/>
          <w:sz w:val="32"/>
          <w:szCs w:val="32"/>
        </w:rPr>
      </w:pPr>
      <w:bookmarkStart w:id="58" w:name="_Toc15396620"/>
      <w:r>
        <w:rPr>
          <w:rFonts w:hint="eastAsia" w:eastAsia="仿宋_GB2312" w:cs="仿宋_GB2312"/>
          <w:sz w:val="32"/>
          <w:szCs w:val="32"/>
        </w:rPr>
        <w:t>二、收入决算表</w:t>
      </w:r>
      <w:bookmarkEnd w:id="58"/>
    </w:p>
    <w:p w14:paraId="6B776FF0">
      <w:pPr>
        <w:pStyle w:val="14"/>
        <w:adjustRightInd w:val="0"/>
        <w:snapToGrid w:val="0"/>
        <w:spacing w:line="560" w:lineRule="exact"/>
        <w:jc w:val="left"/>
        <w:rPr>
          <w:rFonts w:eastAsia="仿宋_GB2312" w:cs="仿宋_GB2312"/>
          <w:sz w:val="32"/>
          <w:szCs w:val="32"/>
        </w:rPr>
      </w:pPr>
      <w:bookmarkStart w:id="59" w:name="_Toc15396621"/>
      <w:r>
        <w:rPr>
          <w:rFonts w:hint="eastAsia" w:eastAsia="仿宋_GB2312" w:cs="仿宋_GB2312"/>
          <w:sz w:val="32"/>
          <w:szCs w:val="32"/>
        </w:rPr>
        <w:t>三、支出决算表</w:t>
      </w:r>
      <w:bookmarkEnd w:id="59"/>
    </w:p>
    <w:p w14:paraId="7BA3BEB8">
      <w:pPr>
        <w:pStyle w:val="14"/>
        <w:adjustRightInd w:val="0"/>
        <w:snapToGrid w:val="0"/>
        <w:spacing w:line="560" w:lineRule="exact"/>
        <w:jc w:val="left"/>
        <w:rPr>
          <w:rFonts w:eastAsia="仿宋_GB2312" w:cs="仿宋_GB2312"/>
          <w:sz w:val="32"/>
          <w:szCs w:val="32"/>
        </w:rPr>
      </w:pPr>
      <w:bookmarkStart w:id="60" w:name="_Toc15396622"/>
      <w:r>
        <w:rPr>
          <w:rFonts w:hint="eastAsia" w:eastAsia="仿宋_GB2312" w:cs="仿宋_GB2312"/>
          <w:sz w:val="32"/>
          <w:szCs w:val="32"/>
        </w:rPr>
        <w:t>四、财政拨款收入支出决算总表</w:t>
      </w:r>
      <w:bookmarkEnd w:id="60"/>
    </w:p>
    <w:p w14:paraId="7DE79C70">
      <w:pPr>
        <w:pStyle w:val="14"/>
        <w:adjustRightInd w:val="0"/>
        <w:snapToGrid w:val="0"/>
        <w:spacing w:line="560" w:lineRule="exact"/>
        <w:jc w:val="left"/>
        <w:rPr>
          <w:rFonts w:eastAsia="仿宋_GB2312" w:cs="仿宋_GB2312"/>
          <w:sz w:val="32"/>
          <w:szCs w:val="32"/>
        </w:rPr>
      </w:pPr>
      <w:bookmarkStart w:id="61" w:name="_Toc15396623"/>
      <w:r>
        <w:rPr>
          <w:rFonts w:hint="eastAsia" w:eastAsia="仿宋_GB2312" w:cs="仿宋_GB2312"/>
          <w:sz w:val="32"/>
          <w:szCs w:val="32"/>
        </w:rPr>
        <w:t>五、财政拨款支出决算明细表</w:t>
      </w:r>
      <w:bookmarkEnd w:id="61"/>
      <w:bookmarkStart w:id="62" w:name="_Toc15396624"/>
    </w:p>
    <w:p w14:paraId="62B28E88">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62"/>
    </w:p>
    <w:p w14:paraId="4E9871F4">
      <w:pPr>
        <w:pStyle w:val="14"/>
        <w:adjustRightInd w:val="0"/>
        <w:snapToGrid w:val="0"/>
        <w:spacing w:line="560" w:lineRule="exact"/>
        <w:jc w:val="left"/>
        <w:rPr>
          <w:rFonts w:eastAsia="仿宋_GB2312" w:cs="仿宋_GB2312"/>
          <w:sz w:val="32"/>
          <w:szCs w:val="32"/>
        </w:rPr>
      </w:pPr>
      <w:bookmarkStart w:id="63" w:name="_Toc15396625"/>
      <w:r>
        <w:rPr>
          <w:rFonts w:hint="eastAsia" w:eastAsia="仿宋_GB2312" w:cs="仿宋_GB2312"/>
          <w:sz w:val="32"/>
          <w:szCs w:val="32"/>
        </w:rPr>
        <w:t>七、一般公共预算财政拨款支出决算明细表</w:t>
      </w:r>
      <w:bookmarkEnd w:id="63"/>
    </w:p>
    <w:p w14:paraId="787A3D7B">
      <w:pPr>
        <w:pStyle w:val="14"/>
        <w:adjustRightInd w:val="0"/>
        <w:snapToGrid w:val="0"/>
        <w:spacing w:line="560" w:lineRule="exact"/>
        <w:jc w:val="left"/>
        <w:rPr>
          <w:rFonts w:eastAsia="仿宋_GB2312" w:cs="仿宋_GB2312"/>
          <w:sz w:val="32"/>
          <w:szCs w:val="32"/>
        </w:rPr>
      </w:pPr>
      <w:bookmarkStart w:id="64" w:name="_Toc15396626"/>
      <w:r>
        <w:rPr>
          <w:rFonts w:hint="eastAsia" w:eastAsia="仿宋_GB2312" w:cs="仿宋_GB2312"/>
          <w:sz w:val="32"/>
          <w:szCs w:val="32"/>
        </w:rPr>
        <w:t>八、一般公共预算财政拨款基本支出决算表</w:t>
      </w:r>
      <w:bookmarkEnd w:id="64"/>
    </w:p>
    <w:p w14:paraId="28D866F4">
      <w:pPr>
        <w:pStyle w:val="14"/>
        <w:adjustRightInd w:val="0"/>
        <w:snapToGrid w:val="0"/>
        <w:spacing w:line="560" w:lineRule="exact"/>
        <w:jc w:val="left"/>
        <w:rPr>
          <w:rFonts w:eastAsia="仿宋_GB2312" w:cs="仿宋_GB2312"/>
          <w:sz w:val="32"/>
          <w:szCs w:val="32"/>
        </w:rPr>
      </w:pPr>
      <w:bookmarkStart w:id="65" w:name="_Toc15396627"/>
      <w:r>
        <w:rPr>
          <w:rFonts w:hint="eastAsia" w:eastAsia="仿宋_GB2312" w:cs="仿宋_GB2312"/>
          <w:sz w:val="32"/>
          <w:szCs w:val="32"/>
        </w:rPr>
        <w:t>九、一般公共预算财政拨款项目支出决算表</w:t>
      </w:r>
      <w:bookmarkEnd w:id="65"/>
    </w:p>
    <w:p w14:paraId="575CA849">
      <w:pPr>
        <w:pStyle w:val="14"/>
        <w:adjustRightInd w:val="0"/>
        <w:snapToGrid w:val="0"/>
        <w:spacing w:line="560" w:lineRule="exact"/>
        <w:jc w:val="left"/>
        <w:rPr>
          <w:rFonts w:eastAsia="仿宋_GB2312" w:cs="仿宋_GB2312"/>
          <w:sz w:val="32"/>
          <w:szCs w:val="32"/>
        </w:rPr>
      </w:pPr>
      <w:bookmarkStart w:id="66" w:name="_Toc15396628"/>
      <w:r>
        <w:rPr>
          <w:rFonts w:hint="eastAsia" w:eastAsia="仿宋_GB2312" w:cs="仿宋_GB2312"/>
          <w:sz w:val="32"/>
          <w:szCs w:val="32"/>
        </w:rPr>
        <w:t>十、</w:t>
      </w:r>
      <w:bookmarkEnd w:id="66"/>
      <w:r>
        <w:rPr>
          <w:rFonts w:hint="eastAsia" w:eastAsia="仿宋_GB2312" w:cs="仿宋_GB2312"/>
          <w:sz w:val="32"/>
          <w:szCs w:val="32"/>
        </w:rPr>
        <w:t>政府性基金预算财政拨款收入支出决算表</w:t>
      </w:r>
    </w:p>
    <w:p w14:paraId="5537832E">
      <w:pPr>
        <w:pStyle w:val="14"/>
        <w:adjustRightInd w:val="0"/>
        <w:snapToGrid w:val="0"/>
        <w:spacing w:line="560" w:lineRule="exact"/>
        <w:jc w:val="left"/>
        <w:rPr>
          <w:rFonts w:eastAsia="仿宋_GB2312" w:cs="仿宋_GB2312"/>
          <w:sz w:val="32"/>
          <w:szCs w:val="32"/>
        </w:rPr>
      </w:pPr>
      <w:bookmarkStart w:id="67" w:name="_Toc15396629"/>
      <w:r>
        <w:rPr>
          <w:rFonts w:hint="eastAsia" w:eastAsia="仿宋_GB2312" w:cs="仿宋_GB2312"/>
          <w:sz w:val="32"/>
          <w:szCs w:val="32"/>
        </w:rPr>
        <w:t>十一、</w:t>
      </w:r>
      <w:bookmarkEnd w:id="67"/>
      <w:r>
        <w:rPr>
          <w:rFonts w:hint="eastAsia" w:eastAsia="仿宋_GB2312" w:cs="仿宋_GB2312"/>
          <w:sz w:val="32"/>
          <w:szCs w:val="32"/>
        </w:rPr>
        <w:t>国有资本经营预算财政拨款收入支出决算表</w:t>
      </w:r>
    </w:p>
    <w:p w14:paraId="2D5B857B">
      <w:pPr>
        <w:pStyle w:val="14"/>
        <w:adjustRightInd w:val="0"/>
        <w:snapToGrid w:val="0"/>
        <w:spacing w:line="560" w:lineRule="exact"/>
        <w:jc w:val="left"/>
        <w:rPr>
          <w:rFonts w:eastAsia="仿宋_GB2312" w:cs="仿宋_GB2312"/>
          <w:sz w:val="32"/>
          <w:szCs w:val="32"/>
        </w:rPr>
      </w:pPr>
      <w:bookmarkStart w:id="68" w:name="_Toc15396630"/>
      <w:r>
        <w:rPr>
          <w:rFonts w:hint="eastAsia" w:eastAsia="仿宋_GB2312" w:cs="仿宋_GB2312"/>
          <w:sz w:val="32"/>
          <w:szCs w:val="32"/>
        </w:rPr>
        <w:t>十二、</w:t>
      </w:r>
      <w:bookmarkEnd w:id="68"/>
      <w:r>
        <w:rPr>
          <w:rFonts w:hint="eastAsia" w:eastAsia="仿宋_GB2312" w:cs="仿宋_GB2312"/>
          <w:sz w:val="32"/>
          <w:szCs w:val="32"/>
        </w:rPr>
        <w:t>国有资本经营预算财政拨款支出决算表</w:t>
      </w:r>
    </w:p>
    <w:p w14:paraId="2DBA410A">
      <w:pPr>
        <w:pStyle w:val="14"/>
        <w:adjustRightInd w:val="0"/>
        <w:snapToGrid w:val="0"/>
        <w:spacing w:line="560" w:lineRule="exact"/>
        <w:jc w:val="left"/>
        <w:rPr>
          <w:rFonts w:eastAsia="仿宋_GB2312" w:cs="仿宋_GB2312"/>
          <w:sz w:val="32"/>
          <w:szCs w:val="32"/>
        </w:rPr>
      </w:pPr>
      <w:bookmarkStart w:id="69" w:name="_Toc15396631"/>
      <w:r>
        <w:rPr>
          <w:rFonts w:hint="eastAsia" w:eastAsia="仿宋_GB2312" w:cs="仿宋_GB2312"/>
          <w:sz w:val="32"/>
          <w:szCs w:val="32"/>
        </w:rPr>
        <w:t>十三、</w:t>
      </w:r>
      <w:bookmarkEnd w:id="69"/>
      <w:r>
        <w:rPr>
          <w:rFonts w:hint="eastAsia" w:eastAsia="仿宋_GB2312" w:cs="仿宋_GB2312"/>
          <w:sz w:val="32"/>
          <w:szCs w:val="32"/>
        </w:rPr>
        <w:t>财政拨款“三公”经费支出决算表</w:t>
      </w:r>
    </w:p>
    <w:p w14:paraId="15AA3BBD"/>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
    <w:altName w:val="Segoe Print"/>
    <w:panose1 w:val="00000000000000000000"/>
    <w:charset w:val="00"/>
    <w:family w:val="roman"/>
    <w:pitch w:val="default"/>
    <w:sig w:usb0="00000000" w:usb1="00000000" w:usb2="00000000" w:usb3="00000000" w:csb0="00000001" w:csb1="00000000"/>
  </w:font>
  <w:font w:name="????S">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CDE6">
    <w:pPr>
      <w:pStyle w:val="11"/>
      <w:jc w:val="center"/>
    </w:pPr>
  </w:p>
  <w:p w14:paraId="60525AA6">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6BC5A">
    <w:pPr>
      <w:pStyle w:val="11"/>
      <w:jc w:val="center"/>
    </w:pPr>
  </w:p>
  <w:p w14:paraId="58DF2BD1">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A3D1">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8C234">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10C5B"/>
    <w:rsid w:val="000222C6"/>
    <w:rsid w:val="0002549F"/>
    <w:rsid w:val="00033666"/>
    <w:rsid w:val="000468DB"/>
    <w:rsid w:val="0005506B"/>
    <w:rsid w:val="000616C3"/>
    <w:rsid w:val="0006487A"/>
    <w:rsid w:val="00065F8F"/>
    <w:rsid w:val="00070A43"/>
    <w:rsid w:val="000768F2"/>
    <w:rsid w:val="00080F25"/>
    <w:rsid w:val="0009184B"/>
    <w:rsid w:val="00094236"/>
    <w:rsid w:val="0009593C"/>
    <w:rsid w:val="00097322"/>
    <w:rsid w:val="000A6A92"/>
    <w:rsid w:val="000B047F"/>
    <w:rsid w:val="000B5923"/>
    <w:rsid w:val="000B5A48"/>
    <w:rsid w:val="000B6FF3"/>
    <w:rsid w:val="000B74F0"/>
    <w:rsid w:val="000B79A1"/>
    <w:rsid w:val="000C3467"/>
    <w:rsid w:val="000C3CA6"/>
    <w:rsid w:val="000D1267"/>
    <w:rsid w:val="000D1A7A"/>
    <w:rsid w:val="000D1D50"/>
    <w:rsid w:val="000D5782"/>
    <w:rsid w:val="000D7B67"/>
    <w:rsid w:val="000E6613"/>
    <w:rsid w:val="000E7119"/>
    <w:rsid w:val="001134A7"/>
    <w:rsid w:val="00114E9B"/>
    <w:rsid w:val="001266B1"/>
    <w:rsid w:val="0014065D"/>
    <w:rsid w:val="00142216"/>
    <w:rsid w:val="00144D6A"/>
    <w:rsid w:val="0014729F"/>
    <w:rsid w:val="00157BAB"/>
    <w:rsid w:val="001654D1"/>
    <w:rsid w:val="00174518"/>
    <w:rsid w:val="0018106D"/>
    <w:rsid w:val="001877A7"/>
    <w:rsid w:val="00191536"/>
    <w:rsid w:val="00196687"/>
    <w:rsid w:val="001A094D"/>
    <w:rsid w:val="001B5B65"/>
    <w:rsid w:val="001C0962"/>
    <w:rsid w:val="001D7531"/>
    <w:rsid w:val="001E2BA2"/>
    <w:rsid w:val="001E737D"/>
    <w:rsid w:val="001E7C3E"/>
    <w:rsid w:val="001E7DDB"/>
    <w:rsid w:val="001F0592"/>
    <w:rsid w:val="001F7506"/>
    <w:rsid w:val="002006CD"/>
    <w:rsid w:val="00202B36"/>
    <w:rsid w:val="00204B7A"/>
    <w:rsid w:val="00204CDE"/>
    <w:rsid w:val="0021101A"/>
    <w:rsid w:val="00220536"/>
    <w:rsid w:val="0023055C"/>
    <w:rsid w:val="00231B19"/>
    <w:rsid w:val="00235629"/>
    <w:rsid w:val="00260C38"/>
    <w:rsid w:val="002616C0"/>
    <w:rsid w:val="00265372"/>
    <w:rsid w:val="002662AA"/>
    <w:rsid w:val="00280496"/>
    <w:rsid w:val="00294DC9"/>
    <w:rsid w:val="002951DD"/>
    <w:rsid w:val="00295495"/>
    <w:rsid w:val="002A31DE"/>
    <w:rsid w:val="002B2613"/>
    <w:rsid w:val="002C41C8"/>
    <w:rsid w:val="002D6D05"/>
    <w:rsid w:val="002E0F16"/>
    <w:rsid w:val="002E3A4B"/>
    <w:rsid w:val="002E4FBE"/>
    <w:rsid w:val="002E7277"/>
    <w:rsid w:val="002F1818"/>
    <w:rsid w:val="002F1A5F"/>
    <w:rsid w:val="002F567B"/>
    <w:rsid w:val="003029C4"/>
    <w:rsid w:val="00304B0C"/>
    <w:rsid w:val="003143C2"/>
    <w:rsid w:val="003216A9"/>
    <w:rsid w:val="00330869"/>
    <w:rsid w:val="00335A74"/>
    <w:rsid w:val="0036561B"/>
    <w:rsid w:val="003665A8"/>
    <w:rsid w:val="0037013F"/>
    <w:rsid w:val="003762EC"/>
    <w:rsid w:val="00380C92"/>
    <w:rsid w:val="00384128"/>
    <w:rsid w:val="00393309"/>
    <w:rsid w:val="003A3647"/>
    <w:rsid w:val="003A484F"/>
    <w:rsid w:val="003A4883"/>
    <w:rsid w:val="003A7358"/>
    <w:rsid w:val="003B0BE0"/>
    <w:rsid w:val="003B0C1B"/>
    <w:rsid w:val="003B2F75"/>
    <w:rsid w:val="003B4774"/>
    <w:rsid w:val="003B688C"/>
    <w:rsid w:val="003C0291"/>
    <w:rsid w:val="003C216C"/>
    <w:rsid w:val="003C39AE"/>
    <w:rsid w:val="003C7B60"/>
    <w:rsid w:val="003D0C0F"/>
    <w:rsid w:val="003D1FB2"/>
    <w:rsid w:val="003D66DA"/>
    <w:rsid w:val="003E1310"/>
    <w:rsid w:val="003E6F55"/>
    <w:rsid w:val="00404903"/>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76C7"/>
    <w:rsid w:val="00505A47"/>
    <w:rsid w:val="00505AFE"/>
    <w:rsid w:val="00512FDA"/>
    <w:rsid w:val="005170BB"/>
    <w:rsid w:val="00520DA0"/>
    <w:rsid w:val="005635B9"/>
    <w:rsid w:val="005664BB"/>
    <w:rsid w:val="00566FFA"/>
    <w:rsid w:val="0057481D"/>
    <w:rsid w:val="005748FC"/>
    <w:rsid w:val="0058486E"/>
    <w:rsid w:val="00585B33"/>
    <w:rsid w:val="0059014D"/>
    <w:rsid w:val="00590499"/>
    <w:rsid w:val="005A7AAB"/>
    <w:rsid w:val="005A7B36"/>
    <w:rsid w:val="005B5C64"/>
    <w:rsid w:val="005C0F7F"/>
    <w:rsid w:val="005C5337"/>
    <w:rsid w:val="005C6BD0"/>
    <w:rsid w:val="005D1C8B"/>
    <w:rsid w:val="005D468D"/>
    <w:rsid w:val="005D5CED"/>
    <w:rsid w:val="005F1729"/>
    <w:rsid w:val="005F1A4C"/>
    <w:rsid w:val="00605688"/>
    <w:rsid w:val="006070AF"/>
    <w:rsid w:val="00607E6C"/>
    <w:rsid w:val="006101B1"/>
    <w:rsid w:val="00613ACE"/>
    <w:rsid w:val="00614E44"/>
    <w:rsid w:val="00615A60"/>
    <w:rsid w:val="0062270A"/>
    <w:rsid w:val="00622830"/>
    <w:rsid w:val="00623BF3"/>
    <w:rsid w:val="00623DA0"/>
    <w:rsid w:val="00630AEF"/>
    <w:rsid w:val="006325F8"/>
    <w:rsid w:val="00633463"/>
    <w:rsid w:val="00634C9A"/>
    <w:rsid w:val="006440E4"/>
    <w:rsid w:val="00646735"/>
    <w:rsid w:val="00646F5E"/>
    <w:rsid w:val="00647461"/>
    <w:rsid w:val="00654476"/>
    <w:rsid w:val="00660EAC"/>
    <w:rsid w:val="0066343B"/>
    <w:rsid w:val="00664777"/>
    <w:rsid w:val="00673717"/>
    <w:rsid w:val="006748A4"/>
    <w:rsid w:val="00681A31"/>
    <w:rsid w:val="00683E73"/>
    <w:rsid w:val="006A3141"/>
    <w:rsid w:val="006A5E34"/>
    <w:rsid w:val="006B2422"/>
    <w:rsid w:val="006B2585"/>
    <w:rsid w:val="006B2B9A"/>
    <w:rsid w:val="006C1937"/>
    <w:rsid w:val="006D35E7"/>
    <w:rsid w:val="006F020C"/>
    <w:rsid w:val="0070687E"/>
    <w:rsid w:val="007127B7"/>
    <w:rsid w:val="0071798E"/>
    <w:rsid w:val="007257B1"/>
    <w:rsid w:val="00725B82"/>
    <w:rsid w:val="007416B6"/>
    <w:rsid w:val="007453BD"/>
    <w:rsid w:val="00746F48"/>
    <w:rsid w:val="0075404D"/>
    <w:rsid w:val="0076182A"/>
    <w:rsid w:val="0076655F"/>
    <w:rsid w:val="00767B7E"/>
    <w:rsid w:val="00774D84"/>
    <w:rsid w:val="007770C3"/>
    <w:rsid w:val="00784227"/>
    <w:rsid w:val="00784D24"/>
    <w:rsid w:val="00785FBA"/>
    <w:rsid w:val="00786E4A"/>
    <w:rsid w:val="007875EB"/>
    <w:rsid w:val="0079426B"/>
    <w:rsid w:val="007C496A"/>
    <w:rsid w:val="007D1682"/>
    <w:rsid w:val="007D312A"/>
    <w:rsid w:val="007D3F19"/>
    <w:rsid w:val="007D7A02"/>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170D"/>
    <w:rsid w:val="008939CD"/>
    <w:rsid w:val="0089560F"/>
    <w:rsid w:val="008A56E7"/>
    <w:rsid w:val="008B768C"/>
    <w:rsid w:val="008C4DB1"/>
    <w:rsid w:val="008C4EAF"/>
    <w:rsid w:val="008C5176"/>
    <w:rsid w:val="008C7FD0"/>
    <w:rsid w:val="008E0C6A"/>
    <w:rsid w:val="008E1DE7"/>
    <w:rsid w:val="008E707C"/>
    <w:rsid w:val="008F3C0E"/>
    <w:rsid w:val="00900B08"/>
    <w:rsid w:val="00902155"/>
    <w:rsid w:val="00902FA3"/>
    <w:rsid w:val="00923564"/>
    <w:rsid w:val="0092392E"/>
    <w:rsid w:val="009315F9"/>
    <w:rsid w:val="00933499"/>
    <w:rsid w:val="00935C98"/>
    <w:rsid w:val="00946945"/>
    <w:rsid w:val="00951248"/>
    <w:rsid w:val="0095152F"/>
    <w:rsid w:val="00954C49"/>
    <w:rsid w:val="00955E37"/>
    <w:rsid w:val="00970705"/>
    <w:rsid w:val="0097099F"/>
    <w:rsid w:val="00971997"/>
    <w:rsid w:val="00971FFC"/>
    <w:rsid w:val="0098660A"/>
    <w:rsid w:val="009931C3"/>
    <w:rsid w:val="00995B32"/>
    <w:rsid w:val="00996DA3"/>
    <w:rsid w:val="009B2C43"/>
    <w:rsid w:val="009B4EAE"/>
    <w:rsid w:val="009B7573"/>
    <w:rsid w:val="009B7D2C"/>
    <w:rsid w:val="009C22F4"/>
    <w:rsid w:val="009C2A4B"/>
    <w:rsid w:val="009C2E98"/>
    <w:rsid w:val="009C55B2"/>
    <w:rsid w:val="009C6755"/>
    <w:rsid w:val="009D3447"/>
    <w:rsid w:val="009D4711"/>
    <w:rsid w:val="009E744E"/>
    <w:rsid w:val="009F1185"/>
    <w:rsid w:val="009F18CD"/>
    <w:rsid w:val="009F2357"/>
    <w:rsid w:val="009F2A13"/>
    <w:rsid w:val="009F7527"/>
    <w:rsid w:val="00A04EB0"/>
    <w:rsid w:val="00A13CC1"/>
    <w:rsid w:val="00A14D87"/>
    <w:rsid w:val="00A16847"/>
    <w:rsid w:val="00A237D8"/>
    <w:rsid w:val="00A268C4"/>
    <w:rsid w:val="00A307CD"/>
    <w:rsid w:val="00A331C8"/>
    <w:rsid w:val="00A40A00"/>
    <w:rsid w:val="00A4142F"/>
    <w:rsid w:val="00A422EB"/>
    <w:rsid w:val="00A45BB7"/>
    <w:rsid w:val="00A56DF2"/>
    <w:rsid w:val="00A56E6E"/>
    <w:rsid w:val="00A67AB5"/>
    <w:rsid w:val="00A7149C"/>
    <w:rsid w:val="00A733B2"/>
    <w:rsid w:val="00A741C2"/>
    <w:rsid w:val="00A75E7C"/>
    <w:rsid w:val="00A816CA"/>
    <w:rsid w:val="00A91760"/>
    <w:rsid w:val="00A93390"/>
    <w:rsid w:val="00A93B00"/>
    <w:rsid w:val="00A93C21"/>
    <w:rsid w:val="00AA2EE5"/>
    <w:rsid w:val="00AB3B58"/>
    <w:rsid w:val="00AB64C9"/>
    <w:rsid w:val="00AC1FBF"/>
    <w:rsid w:val="00AC3C6A"/>
    <w:rsid w:val="00AD5254"/>
    <w:rsid w:val="00AD5620"/>
    <w:rsid w:val="00AD656B"/>
    <w:rsid w:val="00AD7C1B"/>
    <w:rsid w:val="00AE16BA"/>
    <w:rsid w:val="00AE1EBE"/>
    <w:rsid w:val="00AE7F1F"/>
    <w:rsid w:val="00B03C9D"/>
    <w:rsid w:val="00B060AE"/>
    <w:rsid w:val="00B10517"/>
    <w:rsid w:val="00B14E76"/>
    <w:rsid w:val="00B161B8"/>
    <w:rsid w:val="00B2048C"/>
    <w:rsid w:val="00B250E1"/>
    <w:rsid w:val="00B310B9"/>
    <w:rsid w:val="00B34829"/>
    <w:rsid w:val="00B35F3F"/>
    <w:rsid w:val="00B36CBB"/>
    <w:rsid w:val="00B425E0"/>
    <w:rsid w:val="00B440AA"/>
    <w:rsid w:val="00B44B70"/>
    <w:rsid w:val="00B53C56"/>
    <w:rsid w:val="00B57DAF"/>
    <w:rsid w:val="00B6066F"/>
    <w:rsid w:val="00B77EA6"/>
    <w:rsid w:val="00B81598"/>
    <w:rsid w:val="00B841F1"/>
    <w:rsid w:val="00B877F8"/>
    <w:rsid w:val="00B944D6"/>
    <w:rsid w:val="00BB4DF0"/>
    <w:rsid w:val="00BC289F"/>
    <w:rsid w:val="00BC2D50"/>
    <w:rsid w:val="00BC5361"/>
    <w:rsid w:val="00BC5460"/>
    <w:rsid w:val="00BC5BAB"/>
    <w:rsid w:val="00BC6B50"/>
    <w:rsid w:val="00BD0E25"/>
    <w:rsid w:val="00BF5BD6"/>
    <w:rsid w:val="00C03D55"/>
    <w:rsid w:val="00C03E31"/>
    <w:rsid w:val="00C1057B"/>
    <w:rsid w:val="00C23D93"/>
    <w:rsid w:val="00C25867"/>
    <w:rsid w:val="00C26B3E"/>
    <w:rsid w:val="00C27C82"/>
    <w:rsid w:val="00C33E72"/>
    <w:rsid w:val="00C354B2"/>
    <w:rsid w:val="00C35554"/>
    <w:rsid w:val="00C42709"/>
    <w:rsid w:val="00C47894"/>
    <w:rsid w:val="00C533CC"/>
    <w:rsid w:val="00C53D40"/>
    <w:rsid w:val="00C5751C"/>
    <w:rsid w:val="00C61BFC"/>
    <w:rsid w:val="00C62B85"/>
    <w:rsid w:val="00C65438"/>
    <w:rsid w:val="00C7099B"/>
    <w:rsid w:val="00C744BB"/>
    <w:rsid w:val="00C87FD8"/>
    <w:rsid w:val="00C91381"/>
    <w:rsid w:val="00C91CBB"/>
    <w:rsid w:val="00C927B4"/>
    <w:rsid w:val="00CB4E70"/>
    <w:rsid w:val="00CC09B6"/>
    <w:rsid w:val="00CC666F"/>
    <w:rsid w:val="00CD1E3F"/>
    <w:rsid w:val="00CE44F6"/>
    <w:rsid w:val="00CE49DA"/>
    <w:rsid w:val="00CE7B61"/>
    <w:rsid w:val="00CF6BEA"/>
    <w:rsid w:val="00D00095"/>
    <w:rsid w:val="00D114F0"/>
    <w:rsid w:val="00D20620"/>
    <w:rsid w:val="00D254F7"/>
    <w:rsid w:val="00D26091"/>
    <w:rsid w:val="00D2685C"/>
    <w:rsid w:val="00D34E7C"/>
    <w:rsid w:val="00D35489"/>
    <w:rsid w:val="00D36AFE"/>
    <w:rsid w:val="00D378B8"/>
    <w:rsid w:val="00D51276"/>
    <w:rsid w:val="00D52520"/>
    <w:rsid w:val="00D7035F"/>
    <w:rsid w:val="00D87709"/>
    <w:rsid w:val="00D9634C"/>
    <w:rsid w:val="00DA634F"/>
    <w:rsid w:val="00DA65AC"/>
    <w:rsid w:val="00DA72EA"/>
    <w:rsid w:val="00DB1913"/>
    <w:rsid w:val="00DC410D"/>
    <w:rsid w:val="00DC5A81"/>
    <w:rsid w:val="00DC68CA"/>
    <w:rsid w:val="00DC7CBA"/>
    <w:rsid w:val="00DD73B7"/>
    <w:rsid w:val="00DF28BC"/>
    <w:rsid w:val="00DF34B9"/>
    <w:rsid w:val="00E01053"/>
    <w:rsid w:val="00E07ACF"/>
    <w:rsid w:val="00E331A1"/>
    <w:rsid w:val="00E33202"/>
    <w:rsid w:val="00E336A9"/>
    <w:rsid w:val="00E40890"/>
    <w:rsid w:val="00E472B1"/>
    <w:rsid w:val="00E50624"/>
    <w:rsid w:val="00E508EF"/>
    <w:rsid w:val="00E51156"/>
    <w:rsid w:val="00E54633"/>
    <w:rsid w:val="00E568DF"/>
    <w:rsid w:val="00E64269"/>
    <w:rsid w:val="00E77E33"/>
    <w:rsid w:val="00E82267"/>
    <w:rsid w:val="00E83DBA"/>
    <w:rsid w:val="00E853CE"/>
    <w:rsid w:val="00E867B6"/>
    <w:rsid w:val="00EA010F"/>
    <w:rsid w:val="00EB34E3"/>
    <w:rsid w:val="00EB6B8F"/>
    <w:rsid w:val="00ED1B63"/>
    <w:rsid w:val="00ED3C1F"/>
    <w:rsid w:val="00ED4085"/>
    <w:rsid w:val="00ED420E"/>
    <w:rsid w:val="00ED6FBE"/>
    <w:rsid w:val="00EE2F57"/>
    <w:rsid w:val="00EF02BF"/>
    <w:rsid w:val="00EF1BCC"/>
    <w:rsid w:val="00EF4C34"/>
    <w:rsid w:val="00EF77C6"/>
    <w:rsid w:val="00F05438"/>
    <w:rsid w:val="00F1361C"/>
    <w:rsid w:val="00F156F0"/>
    <w:rsid w:val="00F160C7"/>
    <w:rsid w:val="00F2408F"/>
    <w:rsid w:val="00F240E9"/>
    <w:rsid w:val="00F25084"/>
    <w:rsid w:val="00F36D8F"/>
    <w:rsid w:val="00F417B1"/>
    <w:rsid w:val="00F45853"/>
    <w:rsid w:val="00F602DF"/>
    <w:rsid w:val="00F754A1"/>
    <w:rsid w:val="00F81FD9"/>
    <w:rsid w:val="00F841AA"/>
    <w:rsid w:val="00F84A94"/>
    <w:rsid w:val="00F87E96"/>
    <w:rsid w:val="00F96DC0"/>
    <w:rsid w:val="00FA23E8"/>
    <w:rsid w:val="00FA3393"/>
    <w:rsid w:val="00FB0042"/>
    <w:rsid w:val="00FB2249"/>
    <w:rsid w:val="00FB3DB0"/>
    <w:rsid w:val="00FD1FEA"/>
    <w:rsid w:val="00FD2071"/>
    <w:rsid w:val="00FD3CC1"/>
    <w:rsid w:val="00FF1E02"/>
    <w:rsid w:val="00FF223B"/>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352B51"/>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21"/>
    <w:qFormat/>
    <w:uiPriority w:val="99"/>
    <w:pPr>
      <w:keepNext/>
      <w:keepLines/>
      <w:spacing w:before="260" w:after="260" w:line="416" w:lineRule="auto"/>
      <w:outlineLvl w:val="1"/>
    </w:pPr>
    <w:rPr>
      <w:rFonts w:ascii="Cambria" w:hAnsi="Cambria"/>
      <w:b/>
      <w:bCs/>
      <w:sz w:val="32"/>
      <w:szCs w:val="32"/>
    </w:rPr>
  </w:style>
  <w:style w:type="paragraph" w:styleId="7">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7">
    <w:name w:val="Default Paragraph Font"/>
    <w:semiHidden/>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link w:val="23"/>
    <w:semiHidden/>
    <w:qFormat/>
    <w:uiPriority w:val="99"/>
    <w:pPr>
      <w:snapToGrid w:val="0"/>
      <w:jc w:val="left"/>
    </w:pPr>
    <w:rPr>
      <w:sz w:val="18"/>
      <w:szCs w:val="18"/>
    </w:rPr>
  </w:style>
  <w:style w:type="paragraph" w:styleId="3">
    <w:name w:val="Body Text First Indent 2"/>
    <w:basedOn w:val="4"/>
    <w:link w:val="25"/>
    <w:qFormat/>
    <w:uiPriority w:val="99"/>
    <w:pPr>
      <w:ind w:firstLine="420" w:firstLineChars="200"/>
    </w:pPr>
  </w:style>
  <w:style w:type="paragraph" w:styleId="4">
    <w:name w:val="Body Text Indent"/>
    <w:basedOn w:val="1"/>
    <w:next w:val="3"/>
    <w:link w:val="24"/>
    <w:qFormat/>
    <w:uiPriority w:val="99"/>
    <w:pPr>
      <w:spacing w:after="120"/>
      <w:ind w:left="200" w:leftChars="200"/>
    </w:pPr>
    <w:rPr>
      <w:rFonts w:ascii="仿宋_GB2312"/>
      <w:szCs w:val="32"/>
    </w:rPr>
  </w:style>
  <w:style w:type="paragraph" w:styleId="8">
    <w:name w:val="Body Text"/>
    <w:basedOn w:val="1"/>
    <w:link w:val="33"/>
    <w:qFormat/>
    <w:uiPriority w:val="99"/>
    <w:pPr>
      <w:spacing w:beforeLines="30"/>
    </w:pPr>
    <w:rPr>
      <w:rFonts w:ascii="仿宋_GB2312" w:eastAsia="仿宋_GB2312"/>
      <w:kern w:val="0"/>
      <w:sz w:val="24"/>
      <w:szCs w:val="20"/>
    </w:rPr>
  </w:style>
  <w:style w:type="paragraph" w:styleId="9">
    <w:name w:val="toc 3"/>
    <w:basedOn w:val="1"/>
    <w:next w:val="1"/>
    <w:qFormat/>
    <w:uiPriority w:val="99"/>
    <w:pPr>
      <w:tabs>
        <w:tab w:val="right" w:leader="dot" w:pos="8296"/>
      </w:tabs>
      <w:ind w:left="840" w:leftChars="400"/>
    </w:pPr>
  </w:style>
  <w:style w:type="paragraph" w:styleId="10">
    <w:name w:val="Balloon Text"/>
    <w:basedOn w:val="1"/>
    <w:link w:val="27"/>
    <w:semiHidden/>
    <w:qFormat/>
    <w:uiPriority w:val="99"/>
    <w:rPr>
      <w:sz w:val="18"/>
      <w:szCs w:val="18"/>
    </w:rPr>
  </w:style>
  <w:style w:type="paragraph" w:styleId="11">
    <w:name w:val="footer"/>
    <w:basedOn w:val="1"/>
    <w:link w:val="32"/>
    <w:qFormat/>
    <w:uiPriority w:val="99"/>
    <w:pPr>
      <w:tabs>
        <w:tab w:val="center" w:pos="4153"/>
        <w:tab w:val="right" w:pos="8306"/>
      </w:tabs>
      <w:snapToGrid w:val="0"/>
      <w:jc w:val="left"/>
    </w:pPr>
    <w:rPr>
      <w:rFonts w:ascii="Calibri" w:hAnsi="Calibri"/>
      <w:kern w:val="0"/>
      <w:sz w:val="18"/>
      <w:szCs w:val="20"/>
    </w:rPr>
  </w:style>
  <w:style w:type="paragraph" w:styleId="12">
    <w:name w:val="header"/>
    <w:basedOn w:val="1"/>
    <w:link w:val="3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3">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4">
    <w:name w:val="toc 2"/>
    <w:basedOn w:val="1"/>
    <w:next w:val="1"/>
    <w:qFormat/>
    <w:uiPriority w:val="99"/>
    <w:pPr>
      <w:tabs>
        <w:tab w:val="right" w:leader="dot" w:pos="8296"/>
      </w:tabs>
      <w:ind w:left="420" w:leftChars="200"/>
    </w:pPr>
  </w:style>
  <w:style w:type="paragraph" w:styleId="15">
    <w:name w:val="Normal (Web)"/>
    <w:basedOn w:val="1"/>
    <w:qFormat/>
    <w:locked/>
    <w:uiPriority w:val="99"/>
    <w:pPr>
      <w:widowControl/>
      <w:spacing w:before="100" w:beforeAutospacing="1" w:after="100" w:afterAutospacing="1"/>
      <w:jc w:val="left"/>
    </w:pPr>
    <w:rPr>
      <w:rFonts w:ascii="宋体" w:hAnsi="宋体" w:cs="宋体"/>
      <w:kern w:val="0"/>
      <w:sz w:val="24"/>
    </w:rPr>
  </w:style>
  <w:style w:type="character" w:styleId="18">
    <w:name w:val="Strong"/>
    <w:basedOn w:val="17"/>
    <w:qFormat/>
    <w:uiPriority w:val="99"/>
    <w:rPr>
      <w:rFonts w:cs="Times New Roman"/>
      <w:b/>
    </w:rPr>
  </w:style>
  <w:style w:type="character" w:styleId="19">
    <w:name w:val="Hyperlink"/>
    <w:basedOn w:val="17"/>
    <w:qFormat/>
    <w:uiPriority w:val="99"/>
    <w:rPr>
      <w:rFonts w:cs="Times New Roman"/>
      <w:color w:val="0000FF"/>
      <w:u w:val="single"/>
    </w:rPr>
  </w:style>
  <w:style w:type="character" w:customStyle="1" w:styleId="20">
    <w:name w:val="Heading 1 Char"/>
    <w:basedOn w:val="17"/>
    <w:link w:val="5"/>
    <w:qFormat/>
    <w:locked/>
    <w:uiPriority w:val="99"/>
    <w:rPr>
      <w:rFonts w:ascii="Times New Roman" w:hAnsi="Times New Roman" w:cs="Times New Roman"/>
      <w:b/>
      <w:bCs/>
      <w:kern w:val="44"/>
      <w:sz w:val="44"/>
      <w:szCs w:val="44"/>
    </w:rPr>
  </w:style>
  <w:style w:type="character" w:customStyle="1" w:styleId="21">
    <w:name w:val="Heading 2 Char"/>
    <w:basedOn w:val="17"/>
    <w:link w:val="6"/>
    <w:qFormat/>
    <w:locked/>
    <w:uiPriority w:val="99"/>
    <w:rPr>
      <w:rFonts w:ascii="Cambria" w:hAnsi="Cambria" w:eastAsia="宋体" w:cs="Times New Roman"/>
      <w:b/>
      <w:bCs/>
      <w:kern w:val="2"/>
      <w:sz w:val="32"/>
      <w:szCs w:val="32"/>
    </w:rPr>
  </w:style>
  <w:style w:type="character" w:customStyle="1" w:styleId="22">
    <w:name w:val="Heading 3 Char"/>
    <w:basedOn w:val="17"/>
    <w:link w:val="7"/>
    <w:qFormat/>
    <w:locked/>
    <w:uiPriority w:val="99"/>
    <w:rPr>
      <w:rFonts w:ascii="Times New Roman" w:hAnsi="Times New Roman" w:cs="Times New Roman"/>
      <w:b/>
      <w:bCs/>
      <w:kern w:val="2"/>
      <w:sz w:val="32"/>
      <w:szCs w:val="32"/>
    </w:rPr>
  </w:style>
  <w:style w:type="character" w:customStyle="1" w:styleId="23">
    <w:name w:val="Footnote Text Char"/>
    <w:basedOn w:val="17"/>
    <w:link w:val="2"/>
    <w:semiHidden/>
    <w:qFormat/>
    <w:locked/>
    <w:uiPriority w:val="99"/>
    <w:rPr>
      <w:rFonts w:ascii="Times New Roman" w:hAnsi="Times New Roman" w:cs="Times New Roman"/>
      <w:sz w:val="18"/>
      <w:szCs w:val="18"/>
    </w:rPr>
  </w:style>
  <w:style w:type="character" w:customStyle="1" w:styleId="24">
    <w:name w:val="Body Text Indent Char"/>
    <w:basedOn w:val="17"/>
    <w:link w:val="4"/>
    <w:semiHidden/>
    <w:qFormat/>
    <w:locked/>
    <w:uiPriority w:val="99"/>
    <w:rPr>
      <w:rFonts w:ascii="Times New Roman" w:hAnsi="Times New Roman" w:cs="Times New Roman"/>
      <w:sz w:val="24"/>
      <w:szCs w:val="24"/>
    </w:rPr>
  </w:style>
  <w:style w:type="character" w:customStyle="1" w:styleId="25">
    <w:name w:val="Body Text First Indent 2 Char"/>
    <w:basedOn w:val="24"/>
    <w:link w:val="3"/>
    <w:semiHidden/>
    <w:qFormat/>
    <w:locked/>
    <w:uiPriority w:val="99"/>
  </w:style>
  <w:style w:type="character" w:customStyle="1" w:styleId="26">
    <w:name w:val="Body Text Char"/>
    <w:basedOn w:val="17"/>
    <w:link w:val="8"/>
    <w:semiHidden/>
    <w:qFormat/>
    <w:locked/>
    <w:uiPriority w:val="99"/>
    <w:rPr>
      <w:rFonts w:ascii="Times New Roman" w:hAnsi="Times New Roman" w:cs="Times New Roman"/>
      <w:sz w:val="24"/>
      <w:szCs w:val="24"/>
    </w:rPr>
  </w:style>
  <w:style w:type="character" w:customStyle="1" w:styleId="27">
    <w:name w:val="Balloon Text Char"/>
    <w:basedOn w:val="17"/>
    <w:link w:val="10"/>
    <w:semiHidden/>
    <w:qFormat/>
    <w:locked/>
    <w:uiPriority w:val="99"/>
    <w:rPr>
      <w:rFonts w:ascii="Times New Roman" w:hAnsi="Times New Roman" w:cs="Times New Roman"/>
      <w:kern w:val="2"/>
      <w:sz w:val="18"/>
      <w:szCs w:val="18"/>
    </w:rPr>
  </w:style>
  <w:style w:type="character" w:customStyle="1" w:styleId="28">
    <w:name w:val="Footer Char"/>
    <w:basedOn w:val="17"/>
    <w:link w:val="11"/>
    <w:semiHidden/>
    <w:qFormat/>
    <w:locked/>
    <w:uiPriority w:val="99"/>
    <w:rPr>
      <w:rFonts w:ascii="Times New Roman" w:hAnsi="Times New Roman" w:cs="Times New Roman"/>
      <w:sz w:val="18"/>
      <w:szCs w:val="18"/>
    </w:rPr>
  </w:style>
  <w:style w:type="character" w:customStyle="1" w:styleId="29">
    <w:name w:val="Header Char"/>
    <w:basedOn w:val="17"/>
    <w:link w:val="12"/>
    <w:semiHidden/>
    <w:qFormat/>
    <w:locked/>
    <w:uiPriority w:val="99"/>
    <w:rPr>
      <w:rFonts w:ascii="Times New Roman" w:hAnsi="Times New Roman" w:cs="Times New Roman"/>
      <w:sz w:val="18"/>
      <w:szCs w:val="18"/>
    </w:rPr>
  </w:style>
  <w:style w:type="paragraph" w:customStyle="1" w:styleId="3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31">
    <w:name w:val="Header Char1"/>
    <w:link w:val="12"/>
    <w:semiHidden/>
    <w:qFormat/>
    <w:locked/>
    <w:uiPriority w:val="99"/>
    <w:rPr>
      <w:sz w:val="18"/>
    </w:rPr>
  </w:style>
  <w:style w:type="character" w:customStyle="1" w:styleId="32">
    <w:name w:val="Footer Char1"/>
    <w:link w:val="11"/>
    <w:qFormat/>
    <w:locked/>
    <w:uiPriority w:val="99"/>
    <w:rPr>
      <w:sz w:val="18"/>
    </w:rPr>
  </w:style>
  <w:style w:type="character" w:customStyle="1" w:styleId="33">
    <w:name w:val="Body Text Char1"/>
    <w:link w:val="8"/>
    <w:qFormat/>
    <w:locked/>
    <w:uiPriority w:val="99"/>
    <w:rPr>
      <w:rFonts w:ascii="仿宋_GB2312" w:hAnsi="Times New Roman" w:eastAsia="仿宋_GB2312"/>
      <w:sz w:val="24"/>
    </w:rPr>
  </w:style>
  <w:style w:type="paragraph" w:customStyle="1" w:styleId="34">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5">
    <w:name w:val="List Paragraph"/>
    <w:basedOn w:val="1"/>
    <w:qFormat/>
    <w:uiPriority w:val="99"/>
    <w:pPr>
      <w:ind w:firstLine="420" w:firstLineChars="200"/>
    </w:pPr>
  </w:style>
  <w:style w:type="paragraph" w:customStyle="1" w:styleId="36">
    <w:name w:val="TOC 标题1"/>
    <w:basedOn w:val="5"/>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7">
    <w:name w:val="TOC 标题2"/>
    <w:basedOn w:val="5"/>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8">
    <w:name w:val="四号正文"/>
    <w:basedOn w:val="1"/>
    <w:qFormat/>
    <w:uiPriority w:val="99"/>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18</Pages>
  <Words>4980</Words>
  <Characters>5441</Characters>
  <Lines>0</Lines>
  <Paragraphs>0</Paragraphs>
  <TotalTime>56</TotalTime>
  <ScaleCrop>false</ScaleCrop>
  <LinksUpToDate>false</LinksUpToDate>
  <CharactersWithSpaces>5468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2025-09-13T11:09:00Z</dcterms:created>
  <dc:creator>曹颖</dc:creator>
  <cp:lastModifiedBy>李燕君</cp:lastModifiedBy>
  <cp:lastPrinted>2025-09-11T08:30:00Z</cp:lastPrinted>
  <dcterms:modified xsi:type="dcterms:W3CDTF">2025-09-15T06:57:03Z</dcterms:modified>
  <dc:title>四川省***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eyJoZGlkIjoiNTk4MzZmNjQzYWI2NzdmODU4MmE3ZDE1NDkxOTY5MjAiLCJ1c2VySWQiOiIzMjE5ODY5MzcifQ==</vt:lpwstr>
  </property>
</Properties>
</file>