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A8DE7">
      <w:pPr>
        <w:pStyle w:val="2"/>
        <w:spacing w:before="93"/>
        <w:rPr>
          <w:rFonts w:hint="eastAsia" w:ascii="Times New Roman" w:eastAsia="方正小标宋简体"/>
          <w:kern w:val="2"/>
          <w:sz w:val="72"/>
          <w:szCs w:val="72"/>
        </w:rPr>
      </w:pPr>
      <w:bookmarkStart w:id="0" w:name="_Toc15306267"/>
      <w:bookmarkStart w:id="1" w:name="_Toc15377193"/>
      <w:bookmarkStart w:id="2" w:name="_Toc15396475"/>
      <w:bookmarkStart w:id="3" w:name="_Toc15378441"/>
      <w:bookmarkStart w:id="4" w:name="_Toc15396597"/>
      <w:bookmarkStart w:id="5" w:name="_Toc15377425"/>
    </w:p>
    <w:p w14:paraId="6DAD85ED">
      <w:pPr>
        <w:pStyle w:val="2"/>
        <w:spacing w:before="93"/>
        <w:rPr>
          <w:rFonts w:ascii="Times New Roman" w:eastAsia="方正小标宋简体"/>
          <w:kern w:val="2"/>
          <w:sz w:val="72"/>
          <w:szCs w:val="72"/>
        </w:rPr>
      </w:pPr>
    </w:p>
    <w:p w14:paraId="164EDA45">
      <w:pPr>
        <w:pStyle w:val="2"/>
        <w:spacing w:before="93"/>
        <w:rPr>
          <w:rFonts w:ascii="Times New Roman" w:eastAsia="方正小标宋简体"/>
          <w:kern w:val="2"/>
          <w:sz w:val="72"/>
          <w:szCs w:val="72"/>
        </w:rPr>
      </w:pPr>
    </w:p>
    <w:p w14:paraId="5641D94E">
      <w:pPr>
        <w:pStyle w:val="2"/>
        <w:spacing w:before="93"/>
        <w:jc w:val="center"/>
        <w:rPr>
          <w:rFonts w:hint="eastAsia" w:ascii="Times New Roman" w:eastAsia="方正小标宋简体"/>
          <w:kern w:val="2"/>
          <w:sz w:val="44"/>
          <w:szCs w:val="44"/>
          <w:lang w:eastAsia="zh-CN"/>
        </w:rPr>
      </w:pPr>
      <w:r>
        <w:rPr>
          <w:rFonts w:hint="eastAsia" w:ascii="Times New Roman" w:eastAsia="方正小标宋简体"/>
          <w:kern w:val="2"/>
          <w:sz w:val="44"/>
          <w:szCs w:val="44"/>
        </w:rPr>
        <w:t>2024年度</w:t>
      </w:r>
      <w:r>
        <w:rPr>
          <w:rFonts w:hint="eastAsia" w:ascii="Times New Roman" w:eastAsia="方正小标宋简体"/>
          <w:kern w:val="2"/>
          <w:sz w:val="44"/>
          <w:szCs w:val="44"/>
          <w:lang w:val="en-US" w:eastAsia="zh-CN"/>
        </w:rPr>
        <w:t>市级单位</w:t>
      </w:r>
    </w:p>
    <w:p w14:paraId="37F0D496">
      <w:pPr>
        <w:pStyle w:val="2"/>
        <w:spacing w:before="93"/>
        <w:jc w:val="center"/>
        <w:rPr>
          <w:rFonts w:ascii="Times New Roman" w:eastAsia="方正小标宋简体"/>
          <w:kern w:val="2"/>
          <w:sz w:val="44"/>
          <w:szCs w:val="44"/>
        </w:rPr>
      </w:pPr>
      <w:r>
        <w:rPr>
          <w:rFonts w:hint="eastAsia" w:ascii="Times New Roman" w:eastAsia="方正小标宋简体"/>
          <w:kern w:val="2"/>
          <w:sz w:val="44"/>
          <w:szCs w:val="44"/>
          <w:lang w:val="en-US" w:eastAsia="zh-CN"/>
        </w:rPr>
        <w:t>攀枝花市政务服务管理局</w:t>
      </w:r>
      <w:r>
        <w:rPr>
          <w:rFonts w:hint="eastAsia" w:ascii="Times New Roman" w:eastAsia="方正小标宋简体"/>
          <w:kern w:val="2"/>
          <w:sz w:val="44"/>
          <w:szCs w:val="44"/>
        </w:rPr>
        <w:t>决算公开</w:t>
      </w:r>
    </w:p>
    <w:p w14:paraId="2496E6AA">
      <w:pPr>
        <w:pStyle w:val="2"/>
        <w:spacing w:before="93"/>
        <w:jc w:val="center"/>
        <w:rPr>
          <w:rFonts w:hint="default" w:ascii="Times New Roman" w:eastAsia="方正小标宋简体"/>
          <w:kern w:val="2"/>
          <w:sz w:val="44"/>
          <w:szCs w:val="44"/>
          <w:lang w:val="en-US" w:eastAsia="zh-CN"/>
        </w:rPr>
      </w:pPr>
      <w:r>
        <w:rPr>
          <w:rFonts w:hint="eastAsia" w:ascii="Times New Roman" w:eastAsia="方正小标宋简体"/>
          <w:kern w:val="2"/>
          <w:sz w:val="44"/>
          <w:szCs w:val="44"/>
          <w:lang w:val="en-US" w:eastAsia="zh-CN"/>
        </w:rPr>
        <w:t>文字说明</w:t>
      </w:r>
    </w:p>
    <w:p w14:paraId="0A05442D">
      <w:pPr>
        <w:pStyle w:val="19"/>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14:paraId="2D16F08D">
      <w:pPr>
        <w:pStyle w:val="2"/>
        <w:spacing w:before="93"/>
        <w:jc w:val="both"/>
        <w:rPr>
          <w:rFonts w:ascii="Times New Roman" w:eastAsia="方正小标宋简体"/>
          <w:kern w:val="2"/>
          <w:sz w:val="44"/>
          <w:szCs w:val="44"/>
        </w:rPr>
      </w:pPr>
    </w:p>
    <w:bookmarkEnd w:id="0"/>
    <w:bookmarkEnd w:id="1"/>
    <w:bookmarkEnd w:id="2"/>
    <w:bookmarkEnd w:id="3"/>
    <w:bookmarkEnd w:id="4"/>
    <w:bookmarkEnd w:id="5"/>
    <w:p w14:paraId="08E7035A">
      <w:pPr>
        <w:widowControl/>
        <w:jc w:val="center"/>
        <w:rPr>
          <w:rFonts w:eastAsia="黑体"/>
          <w:sz w:val="48"/>
          <w:szCs w:val="48"/>
        </w:rPr>
      </w:pPr>
      <w:r>
        <w:rPr>
          <w:rFonts w:hint="eastAsia" w:eastAsia="黑体"/>
          <w:sz w:val="48"/>
          <w:szCs w:val="48"/>
        </w:rPr>
        <w:t>目录</w:t>
      </w:r>
    </w:p>
    <w:p w14:paraId="687ADC5F">
      <w:pPr>
        <w:widowControl/>
        <w:jc w:val="center"/>
        <w:rPr>
          <w:rFonts w:eastAsia="黑体" w:cstheme="minorBidi"/>
          <w:sz w:val="28"/>
          <w:szCs w:val="28"/>
        </w:rPr>
      </w:pPr>
    </w:p>
    <w:p w14:paraId="1EAEB966">
      <w:pPr>
        <w:pStyle w:val="12"/>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16</w:t>
      </w:r>
      <w:bookmarkStart w:id="61" w:name="_GoBack"/>
      <w:bookmarkEnd w:id="61"/>
      <w:r>
        <w:rPr>
          <w:rFonts w:hint="eastAsia" w:ascii="Times New Roman" w:hAnsi="Times New Roman" w:eastAsia="仿宋_GB2312" w:cs="仿宋_GB2312"/>
          <w:sz w:val="32"/>
          <w:szCs w:val="32"/>
        </w:rPr>
        <w:t>日</w:t>
      </w:r>
    </w:p>
    <w:p w14:paraId="5505C380"/>
    <w:p w14:paraId="56ECA117">
      <w:pPr>
        <w:pStyle w:val="12"/>
        <w:adjustRightInd w:val="0"/>
        <w:snapToGrid w:val="0"/>
        <w:spacing w:before="0" w:line="440" w:lineRule="exact"/>
        <w:jc w:val="left"/>
        <w:rPr>
          <w:rFonts w:ascii="Times New Roman" w:hAnsi="Times New Roman" w:eastAsia="黑体" w:cs="黑体"/>
          <w:sz w:val="32"/>
          <w:szCs w:val="32"/>
        </w:rPr>
      </w:pPr>
      <w:r>
        <w:rPr>
          <w:rFonts w:hint="eastAsia" w:ascii="Times New Roman" w:hAnsi="Times New Roman" w:eastAsia="黑体" w:cs="黑体"/>
          <w:sz w:val="32"/>
          <w:szCs w:val="32"/>
        </w:rPr>
        <w:t xml:space="preserve">第一部分 </w:t>
      </w:r>
      <w:r>
        <w:rPr>
          <w:rFonts w:hint="eastAsia" w:ascii="Times New Roman" w:hAnsi="Times New Roman" w:eastAsia="黑体" w:cs="黑体"/>
          <w:sz w:val="32"/>
          <w:szCs w:val="32"/>
          <w:lang w:eastAsia="zh-CN"/>
        </w:rPr>
        <w:t>单位</w:t>
      </w:r>
      <w:r>
        <w:rPr>
          <w:rFonts w:hint="eastAsia" w:ascii="Times New Roman" w:hAnsi="Times New Roman" w:eastAsia="黑体" w:cs="黑体"/>
          <w:sz w:val="32"/>
          <w:szCs w:val="32"/>
        </w:rPr>
        <w:t>概况</w:t>
      </w:r>
      <w:r>
        <w:rPr>
          <w:rFonts w:cs="Times New Roman"/>
          <w:sz w:val="24"/>
          <w:szCs w:val="24"/>
        </w:rPr>
        <w:tab/>
      </w:r>
      <w:r>
        <w:rPr>
          <w:rFonts w:hint="eastAsia" w:cs="Times New Roman"/>
          <w:sz w:val="24"/>
          <w:szCs w:val="24"/>
          <w:lang w:val="en-US" w:eastAsia="zh-CN"/>
        </w:rPr>
        <w:t>3</w:t>
      </w:r>
    </w:p>
    <w:p w14:paraId="45D37874">
      <w:pPr>
        <w:pStyle w:val="12"/>
        <w:adjustRightInd w:val="0"/>
        <w:snapToGrid w:val="0"/>
        <w:spacing w:before="0" w:line="440" w:lineRule="exact"/>
        <w:ind w:firstLine="640" w:firstLineChars="200"/>
        <w:jc w:val="left"/>
        <w:rPr>
          <w:rFonts w:eastAsia="仿宋_GB2312" w:cs="仿宋_GB2312"/>
          <w:sz w:val="32"/>
          <w:szCs w:val="32"/>
        </w:rPr>
      </w:pPr>
      <w:r>
        <w:rPr>
          <w:rFonts w:hint="eastAsia" w:eastAsia="仿宋_GB2312" w:cs="仿宋_GB2312"/>
          <w:sz w:val="32"/>
          <w:szCs w:val="32"/>
        </w:rPr>
        <w:t>一、</w:t>
      </w:r>
      <w:r>
        <w:rPr>
          <w:rFonts w:hint="eastAsia" w:eastAsia="仿宋_GB2312" w:cs="仿宋_GB2312"/>
          <w:sz w:val="32"/>
          <w:szCs w:val="32"/>
          <w:lang w:eastAsia="zh-CN"/>
        </w:rPr>
        <w:t>单位</w:t>
      </w:r>
      <w:r>
        <w:rPr>
          <w:rFonts w:hint="eastAsia" w:eastAsia="仿宋_GB2312" w:cs="仿宋_GB2312"/>
          <w:sz w:val="32"/>
          <w:szCs w:val="32"/>
        </w:rPr>
        <w:t>职责</w:t>
      </w:r>
      <w:r>
        <w:rPr>
          <w:rFonts w:cs="Times New Roman"/>
          <w:sz w:val="24"/>
          <w:szCs w:val="24"/>
        </w:rPr>
        <w:tab/>
      </w:r>
      <w:r>
        <w:rPr>
          <w:rFonts w:hint="eastAsia" w:cs="Times New Roman"/>
          <w:sz w:val="24"/>
          <w:szCs w:val="24"/>
          <w:lang w:val="en-US" w:eastAsia="zh-CN"/>
        </w:rPr>
        <w:t>3</w:t>
      </w:r>
    </w:p>
    <w:p w14:paraId="65FDFE42">
      <w:pPr>
        <w:pStyle w:val="12"/>
        <w:adjustRightInd w:val="0"/>
        <w:snapToGrid w:val="0"/>
        <w:spacing w:before="0" w:line="440" w:lineRule="exact"/>
        <w:ind w:firstLine="640" w:firstLineChars="200"/>
        <w:jc w:val="left"/>
        <w:rPr>
          <w:rFonts w:eastAsia="仿宋_GB2312" w:cs="仿宋_GB2312"/>
          <w:sz w:val="32"/>
          <w:szCs w:val="32"/>
        </w:rPr>
      </w:pPr>
      <w:r>
        <w:rPr>
          <w:rFonts w:hint="eastAsia" w:eastAsia="仿宋_GB2312" w:cs="仿宋_GB2312"/>
          <w:sz w:val="32"/>
          <w:szCs w:val="32"/>
        </w:rPr>
        <w:t>二、机构设置</w:t>
      </w:r>
      <w:r>
        <w:rPr>
          <w:rFonts w:cs="Times New Roman"/>
          <w:sz w:val="24"/>
          <w:szCs w:val="24"/>
        </w:rPr>
        <w:tab/>
      </w:r>
      <w:r>
        <w:rPr>
          <w:rFonts w:hint="eastAsia" w:cs="Times New Roman"/>
          <w:sz w:val="24"/>
          <w:szCs w:val="24"/>
          <w:lang w:val="en-US" w:eastAsia="zh-CN"/>
        </w:rPr>
        <w:t>4</w:t>
      </w:r>
    </w:p>
    <w:p w14:paraId="244CB96A">
      <w:pPr>
        <w:pStyle w:val="12"/>
        <w:adjustRightInd w:val="0"/>
        <w:snapToGrid w:val="0"/>
        <w:spacing w:before="0" w:line="560" w:lineRule="exact"/>
        <w:jc w:val="left"/>
        <w:rPr>
          <w:rFonts w:hint="eastAsia" w:ascii="Times New Roman" w:hAnsi="Times New Roman" w:eastAsia="仿宋" w:cs="黑体"/>
          <w:sz w:val="32"/>
          <w:szCs w:val="32"/>
          <w:lang w:val="en-US" w:eastAsia="zh-CN"/>
        </w:rPr>
      </w:pPr>
      <w:r>
        <w:rPr>
          <w:rFonts w:hint="eastAsia" w:ascii="Times New Roman" w:hAnsi="Times New Roman" w:eastAsia="黑体" w:cs="黑体"/>
          <w:sz w:val="32"/>
          <w:szCs w:val="32"/>
        </w:rPr>
        <w:t>第二部分 2024年度</w:t>
      </w:r>
      <w:r>
        <w:rPr>
          <w:rFonts w:hint="eastAsia" w:ascii="Times New Roman" w:hAnsi="Times New Roman" w:eastAsia="黑体" w:cs="黑体"/>
          <w:sz w:val="32"/>
          <w:szCs w:val="32"/>
          <w:lang w:val="en-US" w:eastAsia="zh-CN"/>
        </w:rPr>
        <w:t>单位</w:t>
      </w:r>
      <w:r>
        <w:rPr>
          <w:rFonts w:hint="eastAsia" w:ascii="Times New Roman" w:hAnsi="Times New Roman" w:eastAsia="黑体" w:cs="黑体"/>
          <w:sz w:val="32"/>
          <w:szCs w:val="32"/>
        </w:rPr>
        <w:t>决算情况说明</w:t>
      </w:r>
      <w:r>
        <w:rPr>
          <w:rFonts w:cs="Times New Roman"/>
          <w:sz w:val="24"/>
          <w:szCs w:val="24"/>
        </w:rPr>
        <w:tab/>
      </w:r>
      <w:r>
        <w:rPr>
          <w:rFonts w:hint="eastAsia" w:cs="Times New Roman"/>
          <w:sz w:val="24"/>
          <w:szCs w:val="24"/>
          <w:lang w:val="en-US" w:eastAsia="zh-CN"/>
        </w:rPr>
        <w:t>6</w:t>
      </w:r>
    </w:p>
    <w:p w14:paraId="318EFF97">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一、收入支出决算总体情况说明</w:t>
      </w:r>
      <w:r>
        <w:rPr>
          <w:rFonts w:cs="Times New Roman"/>
          <w:sz w:val="24"/>
          <w:szCs w:val="24"/>
        </w:rPr>
        <w:tab/>
      </w:r>
      <w:r>
        <w:rPr>
          <w:rFonts w:hint="eastAsia" w:cs="Times New Roman"/>
          <w:sz w:val="24"/>
          <w:szCs w:val="24"/>
          <w:lang w:val="en-US" w:eastAsia="zh-CN"/>
        </w:rPr>
        <w:t>6</w:t>
      </w:r>
    </w:p>
    <w:p w14:paraId="513D9F88">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二、收入决算情况说明</w:t>
      </w:r>
      <w:r>
        <w:rPr>
          <w:rFonts w:cs="Times New Roman"/>
          <w:sz w:val="24"/>
          <w:szCs w:val="24"/>
        </w:rPr>
        <w:tab/>
      </w:r>
      <w:r>
        <w:rPr>
          <w:rFonts w:hint="eastAsia" w:cs="Times New Roman"/>
          <w:sz w:val="24"/>
          <w:szCs w:val="24"/>
          <w:lang w:val="en-US" w:eastAsia="zh-CN"/>
        </w:rPr>
        <w:t>6</w:t>
      </w:r>
    </w:p>
    <w:p w14:paraId="431E9F6C">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三、支出决算情况说明</w:t>
      </w:r>
      <w:r>
        <w:rPr>
          <w:rFonts w:cs="Times New Roman"/>
          <w:sz w:val="24"/>
          <w:szCs w:val="24"/>
        </w:rPr>
        <w:tab/>
      </w:r>
      <w:r>
        <w:rPr>
          <w:rFonts w:hint="eastAsia" w:cs="Times New Roman"/>
          <w:sz w:val="24"/>
          <w:szCs w:val="24"/>
          <w:lang w:val="en-US" w:eastAsia="zh-CN"/>
        </w:rPr>
        <w:t>7</w:t>
      </w:r>
    </w:p>
    <w:p w14:paraId="5E3CA0C3">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四、财政拨款收入支出决算总体情况说明</w:t>
      </w:r>
      <w:r>
        <w:rPr>
          <w:rFonts w:cs="Times New Roman"/>
          <w:sz w:val="24"/>
          <w:szCs w:val="24"/>
        </w:rPr>
        <w:tab/>
      </w:r>
      <w:r>
        <w:rPr>
          <w:rFonts w:hint="eastAsia" w:cs="Times New Roman"/>
          <w:sz w:val="24"/>
          <w:szCs w:val="24"/>
          <w:lang w:val="en-US" w:eastAsia="zh-CN"/>
        </w:rPr>
        <w:t>7</w:t>
      </w:r>
    </w:p>
    <w:p w14:paraId="2074992C">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五、一般公共预算财政拨款支出决算情况说明</w:t>
      </w:r>
      <w:r>
        <w:rPr>
          <w:rFonts w:cs="Times New Roman"/>
          <w:sz w:val="24"/>
          <w:szCs w:val="24"/>
        </w:rPr>
        <w:tab/>
      </w:r>
      <w:r>
        <w:rPr>
          <w:rFonts w:hint="eastAsia" w:cs="Times New Roman"/>
          <w:sz w:val="24"/>
          <w:szCs w:val="24"/>
          <w:lang w:val="en-US" w:eastAsia="zh-CN"/>
        </w:rPr>
        <w:t>8</w:t>
      </w:r>
    </w:p>
    <w:p w14:paraId="289E562F">
      <w:pPr>
        <w:pStyle w:val="14"/>
        <w:adjustRightInd w:val="0"/>
        <w:snapToGrid w:val="0"/>
        <w:spacing w:line="560" w:lineRule="exact"/>
        <w:ind w:left="0" w:leftChars="0" w:firstLine="640" w:firstLineChars="200"/>
        <w:jc w:val="left"/>
        <w:rPr>
          <w:rFonts w:hint="default" w:eastAsia="仿宋_GB2312" w:cs="仿宋_GB2312"/>
          <w:sz w:val="32"/>
          <w:szCs w:val="32"/>
          <w:lang w:val="en-US"/>
        </w:rPr>
      </w:pPr>
      <w:r>
        <w:rPr>
          <w:rFonts w:hint="eastAsia" w:eastAsia="仿宋_GB2312" w:cs="仿宋_GB2312"/>
          <w:sz w:val="32"/>
          <w:szCs w:val="32"/>
        </w:rPr>
        <w:t>六、一般公共预算财政拨款基本支出决算情况说明</w:t>
      </w:r>
      <w:r>
        <w:rPr>
          <w:rFonts w:cs="Times New Roman"/>
          <w:sz w:val="24"/>
          <w:szCs w:val="24"/>
        </w:rPr>
        <w:tab/>
      </w:r>
      <w:r>
        <w:rPr>
          <w:rFonts w:hint="eastAsia" w:cs="Times New Roman"/>
          <w:sz w:val="24"/>
          <w:szCs w:val="24"/>
          <w:lang w:val="en-US" w:eastAsia="zh-CN"/>
        </w:rPr>
        <w:t>10</w:t>
      </w:r>
    </w:p>
    <w:p w14:paraId="7F548245">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七、财政拨款“三公”经费支出决算情况说明</w:t>
      </w:r>
      <w:r>
        <w:rPr>
          <w:rFonts w:cs="Times New Roman"/>
          <w:sz w:val="24"/>
          <w:szCs w:val="24"/>
        </w:rPr>
        <w:tab/>
      </w:r>
      <w:r>
        <w:rPr>
          <w:rFonts w:hint="eastAsia" w:cs="Times New Roman"/>
          <w:sz w:val="24"/>
          <w:szCs w:val="24"/>
          <w:lang w:val="en-US" w:eastAsia="zh-CN"/>
        </w:rPr>
        <w:t>11</w:t>
      </w:r>
    </w:p>
    <w:p w14:paraId="10C00E91">
      <w:pPr>
        <w:pStyle w:val="14"/>
        <w:adjustRightInd w:val="0"/>
        <w:snapToGrid w:val="0"/>
        <w:spacing w:line="560" w:lineRule="exact"/>
        <w:ind w:left="0" w:leftChars="0" w:firstLine="640" w:firstLineChars="200"/>
        <w:jc w:val="left"/>
        <w:rPr>
          <w:rFonts w:hint="default" w:eastAsia="仿宋_GB2312" w:cs="仿宋_GB2312"/>
          <w:sz w:val="32"/>
          <w:szCs w:val="32"/>
          <w:lang w:val="en-US"/>
        </w:rPr>
      </w:pPr>
      <w:r>
        <w:rPr>
          <w:rFonts w:hint="eastAsia" w:eastAsia="仿宋_GB2312" w:cs="仿宋_GB2312"/>
          <w:sz w:val="32"/>
          <w:szCs w:val="32"/>
        </w:rPr>
        <w:t>八、政府性基金预算支出决算情况说明</w:t>
      </w:r>
      <w:r>
        <w:rPr>
          <w:rFonts w:cs="Times New Roman"/>
          <w:sz w:val="24"/>
          <w:szCs w:val="24"/>
        </w:rPr>
        <w:tab/>
      </w:r>
      <w:r>
        <w:rPr>
          <w:rFonts w:hint="eastAsia" w:cs="Times New Roman"/>
          <w:sz w:val="24"/>
          <w:szCs w:val="24"/>
          <w:lang w:val="en-US" w:eastAsia="zh-CN"/>
        </w:rPr>
        <w:t>12</w:t>
      </w:r>
    </w:p>
    <w:p w14:paraId="19EFDBBC">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九、国有资本经营预算支出决算情况说明</w:t>
      </w:r>
      <w:r>
        <w:rPr>
          <w:rFonts w:cs="Times New Roman"/>
          <w:sz w:val="24"/>
          <w:szCs w:val="24"/>
        </w:rPr>
        <w:tab/>
      </w:r>
      <w:r>
        <w:rPr>
          <w:rFonts w:hint="eastAsia" w:cs="Times New Roman"/>
          <w:sz w:val="24"/>
          <w:szCs w:val="24"/>
          <w:lang w:val="en-US" w:eastAsia="zh-CN"/>
        </w:rPr>
        <w:t>13</w:t>
      </w:r>
    </w:p>
    <w:p w14:paraId="1DBE7C51">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十、其他重要事项的情况说明</w:t>
      </w:r>
      <w:r>
        <w:rPr>
          <w:rFonts w:cs="Times New Roman"/>
          <w:sz w:val="24"/>
          <w:szCs w:val="24"/>
        </w:rPr>
        <w:tab/>
      </w:r>
      <w:r>
        <w:rPr>
          <w:rFonts w:hint="eastAsia" w:cs="Times New Roman"/>
          <w:sz w:val="24"/>
          <w:szCs w:val="24"/>
          <w:lang w:val="en-US" w:eastAsia="zh-CN"/>
        </w:rPr>
        <w:t>13</w:t>
      </w:r>
    </w:p>
    <w:p w14:paraId="0B775E6B">
      <w:pPr>
        <w:pStyle w:val="14"/>
        <w:adjustRightInd w:val="0"/>
        <w:snapToGrid w:val="0"/>
        <w:spacing w:line="560" w:lineRule="exact"/>
        <w:ind w:left="0" w:leftChars="0" w:firstLine="0" w:firstLineChars="0"/>
        <w:jc w:val="left"/>
        <w:rPr>
          <w:rFonts w:hint="eastAsia" w:cs="Times New Roman"/>
          <w:sz w:val="24"/>
          <w:szCs w:val="24"/>
          <w:lang w:val="en-US" w:eastAsia="zh-CN"/>
        </w:rPr>
      </w:pPr>
      <w:r>
        <w:rPr>
          <w:rFonts w:hint="eastAsia" w:ascii="Times New Roman" w:hAnsi="Times New Roman" w:eastAsia="黑体" w:cs="黑体"/>
          <w:sz w:val="32"/>
          <w:szCs w:val="32"/>
        </w:rPr>
        <w:t>第三部分 名词解释</w:t>
      </w:r>
      <w:r>
        <w:rPr>
          <w:rFonts w:cs="Times New Roman"/>
          <w:sz w:val="24"/>
          <w:szCs w:val="24"/>
        </w:rPr>
        <w:tab/>
      </w:r>
      <w:r>
        <w:rPr>
          <w:rFonts w:hint="eastAsia" w:cs="Times New Roman"/>
          <w:sz w:val="24"/>
          <w:szCs w:val="24"/>
          <w:lang w:val="en-US" w:eastAsia="zh-CN"/>
        </w:rPr>
        <w:t>15</w:t>
      </w:r>
    </w:p>
    <w:p w14:paraId="5B33B363">
      <w:pPr>
        <w:pStyle w:val="12"/>
        <w:adjustRightInd w:val="0"/>
        <w:snapToGrid w:val="0"/>
        <w:spacing w:before="0" w:line="440" w:lineRule="exact"/>
        <w:jc w:val="left"/>
        <w:rPr>
          <w:rFonts w:hint="eastAsia"/>
          <w:lang w:val="en-US" w:eastAsia="zh-CN"/>
        </w:rPr>
      </w:pPr>
      <w:r>
        <w:rPr>
          <w:rFonts w:hint="eastAsia" w:ascii="Times New Roman" w:hAnsi="Times New Roman" w:eastAsia="黑体" w:cs="黑体"/>
          <w:sz w:val="32"/>
          <w:szCs w:val="32"/>
        </w:rPr>
        <w:t>第四部分 附件</w:t>
      </w:r>
      <w:r>
        <w:rPr>
          <w:rFonts w:cs="Times New Roman"/>
          <w:sz w:val="24"/>
          <w:szCs w:val="24"/>
        </w:rPr>
        <w:tab/>
      </w:r>
      <w:r>
        <w:rPr>
          <w:rFonts w:hint="eastAsia" w:cs="Times New Roman"/>
          <w:sz w:val="24"/>
          <w:szCs w:val="24"/>
          <w:lang w:val="en-US" w:eastAsia="zh-CN"/>
        </w:rPr>
        <w:t>18</w:t>
      </w:r>
    </w:p>
    <w:p w14:paraId="60089F46">
      <w:pPr>
        <w:pStyle w:val="14"/>
        <w:adjustRightInd w:val="0"/>
        <w:snapToGrid w:val="0"/>
        <w:spacing w:line="560" w:lineRule="exact"/>
        <w:ind w:left="0" w:leftChars="0" w:firstLine="0" w:firstLineChars="0"/>
        <w:jc w:val="left"/>
        <w:rPr>
          <w:rFonts w:ascii="Times New Roman" w:hAnsi="Times New Roman" w:eastAsia="黑体" w:cs="黑体"/>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四</w:t>
      </w:r>
      <w:r>
        <w:rPr>
          <w:rFonts w:hint="eastAsia" w:ascii="Times New Roman" w:hAnsi="Times New Roman" w:eastAsia="黑体" w:cs="黑体"/>
          <w:sz w:val="32"/>
          <w:szCs w:val="32"/>
        </w:rPr>
        <w:t>部分 附表</w:t>
      </w:r>
      <w:r>
        <w:rPr>
          <w:rFonts w:cs="Times New Roman"/>
          <w:sz w:val="24"/>
          <w:szCs w:val="24"/>
        </w:rPr>
        <w:tab/>
      </w:r>
      <w:r>
        <w:rPr>
          <w:rFonts w:hint="eastAsia" w:cs="Times New Roman"/>
          <w:sz w:val="24"/>
          <w:szCs w:val="24"/>
          <w:lang w:val="en-US" w:eastAsia="zh-CN"/>
        </w:rPr>
        <w:t>19</w:t>
      </w:r>
    </w:p>
    <w:p w14:paraId="6F04F996">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一、收入支出决算总表</w:t>
      </w:r>
      <w:r>
        <w:rPr>
          <w:rFonts w:cs="Times New Roman"/>
          <w:sz w:val="24"/>
          <w:szCs w:val="24"/>
        </w:rPr>
        <w:tab/>
      </w:r>
      <w:r>
        <w:rPr>
          <w:rFonts w:hint="eastAsia" w:cs="Times New Roman"/>
          <w:sz w:val="24"/>
          <w:szCs w:val="24"/>
          <w:lang w:val="en-US" w:eastAsia="zh-CN"/>
        </w:rPr>
        <w:t>19</w:t>
      </w:r>
    </w:p>
    <w:p w14:paraId="1BF79173">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二、收入决算表</w:t>
      </w:r>
      <w:r>
        <w:rPr>
          <w:rFonts w:cs="Times New Roman"/>
          <w:sz w:val="24"/>
          <w:szCs w:val="24"/>
        </w:rPr>
        <w:tab/>
      </w:r>
      <w:r>
        <w:rPr>
          <w:rFonts w:hint="eastAsia" w:cs="Times New Roman"/>
          <w:sz w:val="24"/>
          <w:szCs w:val="24"/>
          <w:lang w:val="en-US" w:eastAsia="zh-CN"/>
        </w:rPr>
        <w:t>19</w:t>
      </w:r>
    </w:p>
    <w:p w14:paraId="042C1138">
      <w:pPr>
        <w:pStyle w:val="14"/>
        <w:adjustRightInd w:val="0"/>
        <w:snapToGrid w:val="0"/>
        <w:spacing w:line="560" w:lineRule="exact"/>
        <w:ind w:left="0" w:leftChars="0" w:firstLine="640" w:firstLineChars="200"/>
        <w:jc w:val="left"/>
        <w:rPr>
          <w:rFonts w:hint="eastAsia" w:cs="Times New Roman"/>
          <w:sz w:val="24"/>
          <w:szCs w:val="24"/>
          <w:lang w:val="en-US" w:eastAsia="zh-CN"/>
        </w:rPr>
      </w:pPr>
      <w:r>
        <w:rPr>
          <w:rFonts w:hint="eastAsia" w:eastAsia="仿宋_GB2312" w:cs="仿宋_GB2312"/>
          <w:sz w:val="32"/>
          <w:szCs w:val="32"/>
        </w:rPr>
        <w:t>三、支出决算表</w:t>
      </w:r>
      <w:r>
        <w:rPr>
          <w:rFonts w:cs="Times New Roman"/>
          <w:sz w:val="24"/>
          <w:szCs w:val="24"/>
        </w:rPr>
        <w:tab/>
      </w:r>
      <w:r>
        <w:rPr>
          <w:rFonts w:hint="eastAsia" w:cs="Times New Roman"/>
          <w:sz w:val="24"/>
          <w:szCs w:val="24"/>
          <w:lang w:val="en-US" w:eastAsia="zh-CN"/>
        </w:rPr>
        <w:t>19</w:t>
      </w:r>
    </w:p>
    <w:p w14:paraId="72A96541">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四、财政拨款收入支出决算总表</w:t>
      </w:r>
      <w:r>
        <w:rPr>
          <w:rFonts w:cs="Times New Roman"/>
          <w:sz w:val="24"/>
          <w:szCs w:val="24"/>
        </w:rPr>
        <w:tab/>
      </w:r>
      <w:r>
        <w:rPr>
          <w:rFonts w:hint="eastAsia" w:cs="Times New Roman"/>
          <w:sz w:val="24"/>
          <w:szCs w:val="24"/>
          <w:lang w:val="en-US" w:eastAsia="zh-CN"/>
        </w:rPr>
        <w:t>19</w:t>
      </w:r>
    </w:p>
    <w:p w14:paraId="0C8C0D74">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五、财政拨款支出决算明细表</w:t>
      </w:r>
      <w:r>
        <w:rPr>
          <w:rFonts w:cs="Times New Roman"/>
          <w:sz w:val="24"/>
          <w:szCs w:val="24"/>
        </w:rPr>
        <w:tab/>
      </w:r>
      <w:r>
        <w:rPr>
          <w:rFonts w:hint="eastAsia" w:cs="Times New Roman"/>
          <w:sz w:val="24"/>
          <w:szCs w:val="24"/>
          <w:lang w:val="en-US" w:eastAsia="zh-CN"/>
        </w:rPr>
        <w:t>19</w:t>
      </w:r>
    </w:p>
    <w:p w14:paraId="6B63D746">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六、一般公共预算财政拨款支出决算表</w:t>
      </w:r>
      <w:r>
        <w:rPr>
          <w:rFonts w:cs="Times New Roman"/>
          <w:sz w:val="24"/>
          <w:szCs w:val="24"/>
        </w:rPr>
        <w:tab/>
      </w:r>
      <w:r>
        <w:rPr>
          <w:rFonts w:hint="eastAsia" w:cs="Times New Roman"/>
          <w:sz w:val="24"/>
          <w:szCs w:val="24"/>
          <w:lang w:val="en-US" w:eastAsia="zh-CN"/>
        </w:rPr>
        <w:t>19</w:t>
      </w:r>
    </w:p>
    <w:p w14:paraId="424D237F">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七、一般公共预算财政拨款支出决算明细表</w:t>
      </w:r>
      <w:r>
        <w:rPr>
          <w:rFonts w:cs="Times New Roman"/>
          <w:sz w:val="24"/>
          <w:szCs w:val="24"/>
        </w:rPr>
        <w:tab/>
      </w:r>
      <w:r>
        <w:rPr>
          <w:rFonts w:hint="eastAsia" w:cs="Times New Roman"/>
          <w:sz w:val="24"/>
          <w:szCs w:val="24"/>
          <w:lang w:val="en-US" w:eastAsia="zh-CN"/>
        </w:rPr>
        <w:t>19</w:t>
      </w:r>
    </w:p>
    <w:p w14:paraId="60AF9925">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八、一般公共预算财政拨款基本支出决算明细表</w:t>
      </w:r>
      <w:r>
        <w:rPr>
          <w:rFonts w:cs="Times New Roman"/>
          <w:sz w:val="24"/>
          <w:szCs w:val="24"/>
        </w:rPr>
        <w:tab/>
      </w:r>
      <w:r>
        <w:rPr>
          <w:rFonts w:hint="eastAsia" w:cs="Times New Roman"/>
          <w:sz w:val="24"/>
          <w:szCs w:val="24"/>
          <w:lang w:val="en-US" w:eastAsia="zh-CN"/>
        </w:rPr>
        <w:t>19</w:t>
      </w:r>
    </w:p>
    <w:p w14:paraId="1C90B8C1">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九、一般公共预算财政拨款项目支出决算表</w:t>
      </w:r>
      <w:r>
        <w:rPr>
          <w:rFonts w:cs="Times New Roman"/>
          <w:sz w:val="24"/>
          <w:szCs w:val="24"/>
        </w:rPr>
        <w:tab/>
      </w:r>
      <w:r>
        <w:rPr>
          <w:rFonts w:hint="eastAsia" w:cs="Times New Roman"/>
          <w:sz w:val="24"/>
          <w:szCs w:val="24"/>
          <w:lang w:val="en-US" w:eastAsia="zh-CN"/>
        </w:rPr>
        <w:t>19</w:t>
      </w:r>
    </w:p>
    <w:p w14:paraId="769E50C2">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十、政府性基金预算财政拨款收入支出决算表</w:t>
      </w:r>
      <w:r>
        <w:rPr>
          <w:rFonts w:cs="Times New Roman"/>
          <w:sz w:val="24"/>
          <w:szCs w:val="24"/>
        </w:rPr>
        <w:tab/>
      </w:r>
      <w:r>
        <w:rPr>
          <w:rFonts w:hint="eastAsia" w:cs="Times New Roman"/>
          <w:sz w:val="24"/>
          <w:szCs w:val="24"/>
          <w:lang w:val="en-US" w:eastAsia="zh-CN"/>
        </w:rPr>
        <w:t>19</w:t>
      </w:r>
    </w:p>
    <w:p w14:paraId="1EC92D31">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十一、国有资本经营预算财政拨款收入支出决算表</w:t>
      </w:r>
      <w:r>
        <w:rPr>
          <w:rFonts w:cs="Times New Roman"/>
          <w:sz w:val="24"/>
          <w:szCs w:val="24"/>
        </w:rPr>
        <w:tab/>
      </w:r>
      <w:r>
        <w:rPr>
          <w:rFonts w:hint="eastAsia" w:cs="Times New Roman"/>
          <w:sz w:val="24"/>
          <w:szCs w:val="24"/>
          <w:lang w:val="en-US" w:eastAsia="zh-CN"/>
        </w:rPr>
        <w:t>19</w:t>
      </w:r>
    </w:p>
    <w:p w14:paraId="29032FFD">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十二、国有资本经营预算财政拨款支出决算表</w:t>
      </w:r>
      <w:r>
        <w:rPr>
          <w:rFonts w:cs="Times New Roman"/>
          <w:sz w:val="24"/>
          <w:szCs w:val="24"/>
        </w:rPr>
        <w:tab/>
      </w:r>
      <w:r>
        <w:rPr>
          <w:rFonts w:hint="eastAsia" w:cs="Times New Roman"/>
          <w:sz w:val="24"/>
          <w:szCs w:val="24"/>
          <w:lang w:val="en-US" w:eastAsia="zh-CN"/>
        </w:rPr>
        <w:t>19</w:t>
      </w:r>
    </w:p>
    <w:p w14:paraId="41B55E97">
      <w:pPr>
        <w:pStyle w:val="14"/>
        <w:adjustRightInd w:val="0"/>
        <w:snapToGrid w:val="0"/>
        <w:spacing w:line="560" w:lineRule="exact"/>
        <w:ind w:left="0" w:leftChars="0" w:firstLine="640" w:firstLineChars="200"/>
        <w:jc w:val="left"/>
        <w:rPr>
          <w:rFonts w:ascii="Times New Roman" w:hAnsi="Times New Roman" w:eastAsia="黑体" w:cs="黑体"/>
          <w:sz w:val="32"/>
          <w:szCs w:val="32"/>
        </w:rPr>
      </w:pPr>
      <w:r>
        <w:rPr>
          <w:rFonts w:hint="eastAsia" w:eastAsia="仿宋_GB2312" w:cs="仿宋_GB2312"/>
          <w:sz w:val="32"/>
          <w:szCs w:val="32"/>
        </w:rPr>
        <w:t>十三、财政拨款“三公”经费支出决算表</w:t>
      </w:r>
      <w:r>
        <w:rPr>
          <w:rFonts w:cs="Times New Roman"/>
          <w:sz w:val="24"/>
          <w:szCs w:val="24"/>
        </w:rPr>
        <w:tab/>
      </w:r>
      <w:r>
        <w:rPr>
          <w:rFonts w:hint="eastAsia" w:cs="Times New Roman"/>
          <w:sz w:val="24"/>
          <w:szCs w:val="24"/>
          <w:lang w:val="en-US" w:eastAsia="zh-CN"/>
        </w:rPr>
        <w:t>19</w:t>
      </w:r>
    </w:p>
    <w:p w14:paraId="5228D65E">
      <w:pPr>
        <w:pStyle w:val="14"/>
        <w:adjustRightInd w:val="0"/>
        <w:snapToGrid w:val="0"/>
        <w:spacing w:line="560" w:lineRule="exact"/>
        <w:ind w:left="0" w:leftChars="0" w:firstLine="640" w:firstLineChars="200"/>
        <w:jc w:val="left"/>
        <w:rPr>
          <w:rFonts w:eastAsia="仿宋_GB2312" w:cs="仿宋_GB2312"/>
          <w:sz w:val="32"/>
          <w:szCs w:val="32"/>
        </w:rPr>
      </w:pPr>
    </w:p>
    <w:p w14:paraId="4BA5F64E">
      <w:pPr>
        <w:widowControl/>
        <w:spacing w:line="560" w:lineRule="exact"/>
        <w:jc w:val="left"/>
        <w:rPr>
          <w:rFonts w:eastAsia="仿宋_GB2312" w:cs="仿宋_GB2312"/>
          <w:bCs/>
          <w:kern w:val="44"/>
          <w:sz w:val="32"/>
          <w:szCs w:val="32"/>
        </w:rPr>
      </w:pPr>
      <w:bookmarkStart w:id="6" w:name="_Toc15396599"/>
      <w:bookmarkStart w:id="7" w:name="_Toc15377196"/>
      <w:r>
        <w:rPr>
          <w:rFonts w:hint="eastAsia" w:eastAsia="仿宋_GB2312" w:cs="仿宋_GB2312"/>
          <w:b/>
          <w:sz w:val="32"/>
          <w:szCs w:val="32"/>
        </w:rPr>
        <w:br w:type="page"/>
      </w:r>
    </w:p>
    <w:p w14:paraId="0C810B23">
      <w:pPr>
        <w:pStyle w:val="3"/>
        <w:jc w:val="center"/>
        <w:rPr>
          <w:rFonts w:eastAsia="黑体"/>
          <w:sz w:val="32"/>
          <w:szCs w:val="32"/>
        </w:rPr>
      </w:pPr>
      <w:r>
        <w:rPr>
          <w:rFonts w:hint="eastAsia" w:eastAsia="方正小标宋简体" w:cs="方正小标宋简体"/>
          <w:b w:val="0"/>
        </w:rPr>
        <w:t>第一部分</w:t>
      </w:r>
      <w:r>
        <w:rPr>
          <w:rFonts w:hint="eastAsia" w:eastAsia="方正小标宋简体" w:cs="方正小标宋简体"/>
          <w:b w:val="0"/>
          <w:lang w:val="en-US" w:eastAsia="zh-CN"/>
        </w:rPr>
        <w:t xml:space="preserve"> </w:t>
      </w:r>
      <w:r>
        <w:rPr>
          <w:rStyle w:val="28"/>
          <w:rFonts w:hint="eastAsia" w:eastAsia="方正小标宋简体" w:cs="方正小标宋简体"/>
          <w:b w:val="0"/>
          <w:bCs w:val="0"/>
          <w:lang w:val="en-US" w:eastAsia="zh-CN"/>
        </w:rPr>
        <w:t>单位</w:t>
      </w:r>
      <w:r>
        <w:rPr>
          <w:rStyle w:val="28"/>
          <w:rFonts w:hint="eastAsia" w:eastAsia="方正小标宋简体" w:cs="方正小标宋简体"/>
          <w:b w:val="0"/>
          <w:bCs w:val="0"/>
        </w:rPr>
        <w:t>概况</w:t>
      </w:r>
      <w:bookmarkEnd w:id="6"/>
      <w:bookmarkEnd w:id="7"/>
    </w:p>
    <w:p w14:paraId="1B8FF47D">
      <w:pPr>
        <w:pStyle w:val="4"/>
        <w:numPr>
          <w:ilvl w:val="0"/>
          <w:numId w:val="0"/>
        </w:numPr>
        <w:ind w:firstLine="640" w:firstLineChars="200"/>
      </w:pPr>
      <w:r>
        <w:rPr>
          <w:rFonts w:hint="eastAsia" w:ascii="Times New Roman" w:hAnsi="Times New Roman" w:eastAsia="黑体"/>
          <w:b w:val="0"/>
          <w:lang w:val="en-US" w:eastAsia="zh-CN"/>
        </w:rPr>
        <w:t>一、单位</w:t>
      </w:r>
      <w:r>
        <w:rPr>
          <w:rFonts w:hint="eastAsia" w:ascii="Times New Roman" w:hAnsi="Times New Roman" w:eastAsia="黑体"/>
          <w:b w:val="0"/>
        </w:rPr>
        <w:t>职责</w:t>
      </w:r>
    </w:p>
    <w:p w14:paraId="7788921B">
      <w:pPr>
        <w:spacing w:line="600" w:lineRule="exact"/>
        <w:ind w:firstLine="640" w:firstLineChars="200"/>
        <w:outlineLvl w:val="1"/>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eastAsia="zh-CN"/>
        </w:rPr>
        <w:t>市</w:t>
      </w:r>
      <w:r>
        <w:rPr>
          <w:rFonts w:hint="eastAsia" w:ascii="仿宋" w:hAnsi="仿宋" w:eastAsia="仿宋" w:cs="Times New Roman"/>
          <w:color w:val="auto"/>
          <w:sz w:val="32"/>
          <w:szCs w:val="32"/>
          <w:highlight w:val="none"/>
        </w:rPr>
        <w:t>政务管理局贯彻落实党中央关于政务服务工作的方针政策和省委、市委的决策部署，在履行职责过程中坚持和加强党对政务服务工作的集中统一领导。主要职责是：</w:t>
      </w:r>
    </w:p>
    <w:p w14:paraId="2CF14568">
      <w:pPr>
        <w:spacing w:line="600" w:lineRule="exact"/>
        <w:ind w:firstLine="640" w:firstLineChars="200"/>
        <w:outlineLvl w:val="1"/>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1.组织拟订全市政务服务、行政审批制度改革和公共资源交易管理服务发展规划、政策和措施并组织、指导实施。</w:t>
      </w:r>
    </w:p>
    <w:p w14:paraId="1450CE8D">
      <w:pPr>
        <w:spacing w:line="600" w:lineRule="exact"/>
        <w:ind w:firstLine="640" w:firstLineChars="200"/>
        <w:outlineLvl w:val="1"/>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2.负责政务服务管理工作。指导、协调并推进全市政务服务体系建设。指导、协调和监督市级</w:t>
      </w:r>
      <w:r>
        <w:rPr>
          <w:rFonts w:hint="eastAsia" w:ascii="仿宋" w:hAnsi="仿宋" w:eastAsia="仿宋" w:cs="Times New Roman"/>
          <w:color w:val="auto"/>
          <w:sz w:val="32"/>
          <w:szCs w:val="32"/>
          <w:highlight w:val="none"/>
          <w:lang w:eastAsia="zh-CN"/>
        </w:rPr>
        <w:t>单位</w:t>
      </w:r>
      <w:r>
        <w:rPr>
          <w:rFonts w:hint="eastAsia" w:ascii="仿宋" w:hAnsi="仿宋" w:eastAsia="仿宋" w:cs="Times New Roman"/>
          <w:color w:val="auto"/>
          <w:sz w:val="32"/>
          <w:szCs w:val="32"/>
          <w:highlight w:val="none"/>
        </w:rPr>
        <w:t>（单位）政务服务工作。指导、监督相关电子政务服务平台建设和运行工作。对县、区政务服务管理机构进行业务指导。</w:t>
      </w:r>
    </w:p>
    <w:p w14:paraId="37BA147B">
      <w:pPr>
        <w:spacing w:line="600" w:lineRule="exact"/>
        <w:ind w:firstLine="640" w:firstLineChars="200"/>
        <w:outlineLvl w:val="1"/>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3.负责指导、协调、监督并推进全市深化行政审批制度改革工作。</w:t>
      </w:r>
    </w:p>
    <w:p w14:paraId="2A5D50D2">
      <w:pPr>
        <w:spacing w:line="600" w:lineRule="exact"/>
        <w:ind w:firstLine="640" w:firstLineChars="200"/>
        <w:outlineLvl w:val="1"/>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4.负责公共资源交易服务管理工作。指导、协调并推进全市公共资源交易服务体系建设，牵头负责公共资源交易主体信用体系建设。指导、协调、监督管理公共资源交易服务工作。</w:t>
      </w:r>
    </w:p>
    <w:p w14:paraId="26A86337">
      <w:pPr>
        <w:spacing w:line="600" w:lineRule="exact"/>
        <w:ind w:firstLine="640" w:firstLineChars="200"/>
        <w:outlineLvl w:val="1"/>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5.指导、协调、监督、考核进驻</w:t>
      </w:r>
      <w:r>
        <w:rPr>
          <w:rFonts w:hint="eastAsia" w:ascii="仿宋" w:hAnsi="仿宋" w:eastAsia="仿宋" w:cs="Times New Roman"/>
          <w:color w:val="auto"/>
          <w:sz w:val="32"/>
          <w:szCs w:val="32"/>
          <w:highlight w:val="none"/>
          <w:lang w:eastAsia="zh-CN"/>
        </w:rPr>
        <w:t>单位</w:t>
      </w:r>
      <w:r>
        <w:rPr>
          <w:rFonts w:hint="eastAsia" w:ascii="仿宋" w:hAnsi="仿宋" w:eastAsia="仿宋" w:cs="Times New Roman"/>
          <w:color w:val="auto"/>
          <w:sz w:val="32"/>
          <w:szCs w:val="32"/>
          <w:highlight w:val="none"/>
        </w:rPr>
        <w:t>（单位）的政务服务工作，审核进驻政务服务事项，对</w:t>
      </w:r>
      <w:r>
        <w:rPr>
          <w:rFonts w:hint="eastAsia" w:ascii="仿宋" w:hAnsi="仿宋" w:eastAsia="仿宋" w:cs="Times New Roman"/>
          <w:color w:val="auto"/>
          <w:sz w:val="32"/>
          <w:szCs w:val="32"/>
          <w:highlight w:val="none"/>
          <w:lang w:eastAsia="zh-CN"/>
        </w:rPr>
        <w:t>单位</w:t>
      </w:r>
      <w:r>
        <w:rPr>
          <w:rFonts w:hint="eastAsia" w:ascii="仿宋" w:hAnsi="仿宋" w:eastAsia="仿宋" w:cs="Times New Roman"/>
          <w:color w:val="auto"/>
          <w:sz w:val="32"/>
          <w:szCs w:val="32"/>
          <w:highlight w:val="none"/>
        </w:rPr>
        <w:t>（单位）独立设置的办事大厅进行业务指导和监督。</w:t>
      </w:r>
    </w:p>
    <w:p w14:paraId="0CA10693">
      <w:pPr>
        <w:spacing w:line="600" w:lineRule="exact"/>
        <w:ind w:firstLine="640" w:firstLineChars="200"/>
        <w:outlineLvl w:val="1"/>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6.按照省、市要求，指导、推进相对集中行政许可权改革。</w:t>
      </w:r>
    </w:p>
    <w:p w14:paraId="529CEE38">
      <w:pPr>
        <w:spacing w:line="600" w:lineRule="exact"/>
        <w:ind w:firstLine="640" w:firstLineChars="200"/>
        <w:outlineLvl w:val="1"/>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7.负责职责范围的安全生产和职业健康、生态环境保护、审批服务便民化等工作。</w:t>
      </w:r>
    </w:p>
    <w:p w14:paraId="301CA575">
      <w:pPr>
        <w:spacing w:line="600" w:lineRule="exact"/>
        <w:ind w:firstLine="640" w:firstLineChars="200"/>
        <w:outlineLvl w:val="1"/>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8.完成市委、市政府交办的其他任务。</w:t>
      </w:r>
    </w:p>
    <w:p w14:paraId="74F9B100">
      <w:pPr>
        <w:spacing w:line="600" w:lineRule="exact"/>
        <w:ind w:firstLine="640" w:firstLineChars="200"/>
        <w:outlineLvl w:val="1"/>
        <w:rPr>
          <w:rFonts w:hint="eastAsia" w:ascii="仿宋" w:hAnsi="仿宋" w:eastAsia="仿宋" w:cs="Times New Roman"/>
          <w:color w:val="auto"/>
          <w:sz w:val="32"/>
          <w:szCs w:val="32"/>
          <w:highlight w:val="none"/>
          <w:lang w:eastAsia="zh-CN"/>
        </w:rPr>
      </w:pPr>
      <w:bookmarkStart w:id="8" w:name="_Toc112832523"/>
      <w:r>
        <w:rPr>
          <w:rFonts w:hint="eastAsia" w:ascii="仿宋" w:hAnsi="仿宋" w:eastAsia="仿宋" w:cs="Times New Roman"/>
          <w:color w:val="auto"/>
          <w:sz w:val="32"/>
          <w:szCs w:val="32"/>
          <w:highlight w:val="none"/>
        </w:rPr>
        <w:t>9.职能转变。坚持以人民为中心的发展思想，以方便企业和群众办事为目标，努力提高政务服务质量和效率。规范行政审批行为，督促落实审批事项事中事后监管措施。加快推进审批服务便民化相关举措，持续开展减证便民行动，积极推进政务服务“一网、一门、一次”改革。</w:t>
      </w:r>
      <w:bookmarkEnd w:id="8"/>
    </w:p>
    <w:p w14:paraId="13D27B3F"/>
    <w:p w14:paraId="777691CB">
      <w:pPr>
        <w:pStyle w:val="4"/>
        <w:ind w:firstLine="640" w:firstLineChars="200"/>
        <w:rPr>
          <w:rStyle w:val="29"/>
          <w:rFonts w:ascii="Times New Roman" w:hAnsi="Times New Roman"/>
          <w:b w:val="0"/>
          <w:bCs w:val="0"/>
        </w:rPr>
      </w:pPr>
      <w:bookmarkStart w:id="9" w:name="_Toc15377200"/>
      <w:bookmarkStart w:id="10" w:name="_Toc15396601"/>
      <w:r>
        <w:rPr>
          <w:rFonts w:hint="eastAsia" w:ascii="Times New Roman" w:hAnsi="Times New Roman" w:eastAsia="黑体"/>
          <w:b w:val="0"/>
          <w:lang w:val="en-US" w:eastAsia="zh-CN"/>
        </w:rPr>
        <w:t>二、</w:t>
      </w:r>
      <w:r>
        <w:rPr>
          <w:rFonts w:hint="eastAsia" w:ascii="Times New Roman" w:hAnsi="Times New Roman" w:eastAsia="黑体"/>
          <w:b w:val="0"/>
        </w:rPr>
        <w:t>机</w:t>
      </w:r>
      <w:r>
        <w:rPr>
          <w:rStyle w:val="29"/>
          <w:rFonts w:hint="eastAsia" w:ascii="Times New Roman" w:hAnsi="Times New Roman" w:eastAsia="黑体"/>
          <w:b w:val="0"/>
          <w:bCs w:val="0"/>
        </w:rPr>
        <w:t>构设置</w:t>
      </w:r>
      <w:bookmarkEnd w:id="9"/>
      <w:bookmarkEnd w:id="10"/>
    </w:p>
    <w:p w14:paraId="55EE7389">
      <w:pPr>
        <w:ind w:firstLine="640" w:firstLineChars="200"/>
        <w:rPr>
          <w:rFonts w:ascii="仿宋_GB2312" w:hAnsi="仿宋" w:eastAsia="仿宋_GB2312"/>
          <w:kern w:val="0"/>
          <w:sz w:val="32"/>
          <w:szCs w:val="32"/>
        </w:rPr>
      </w:pPr>
      <w:bookmarkStart w:id="11" w:name="_Toc15377204"/>
      <w:bookmarkStart w:id="12" w:name="_Toc15396602"/>
      <w:r>
        <w:rPr>
          <w:rFonts w:ascii="仿宋_GB2312" w:hAnsi="仿宋" w:eastAsia="仿宋_GB2312"/>
          <w:kern w:val="0"/>
          <w:sz w:val="32"/>
          <w:szCs w:val="32"/>
        </w:rPr>
        <w:t xml:space="preserve">市政务管理局设下列内设机构： </w:t>
      </w:r>
    </w:p>
    <w:p w14:paraId="7AEA33E7">
      <w:pPr>
        <w:numPr>
          <w:ilvl w:val="0"/>
          <w:numId w:val="1"/>
        </w:numPr>
        <w:ind w:firstLine="640" w:firstLineChars="200"/>
        <w:rPr>
          <w:rFonts w:ascii="仿宋_GB2312" w:hAnsi="仿宋" w:eastAsia="仿宋_GB2312"/>
          <w:kern w:val="0"/>
          <w:sz w:val="32"/>
          <w:szCs w:val="32"/>
        </w:rPr>
      </w:pPr>
      <w:r>
        <w:rPr>
          <w:rFonts w:ascii="仿宋_GB2312" w:hAnsi="仿宋" w:eastAsia="仿宋_GB2312"/>
          <w:kern w:val="0"/>
          <w:sz w:val="32"/>
          <w:szCs w:val="32"/>
        </w:rPr>
        <w:t xml:space="preserve">办公室。负责文电、会务、档案、机要、安全、 财务、国有资产管理等机关日常运转工作。承担保密、信 访、信息、绩效管理、政务公开、综合性文稿起草和史志 编纂工作。组织办理人大代表建议、政协委员提案。负责机关和所属事业单位党群工作。 </w:t>
      </w:r>
    </w:p>
    <w:p w14:paraId="3D14F90B">
      <w:pPr>
        <w:numPr>
          <w:ilvl w:val="0"/>
          <w:numId w:val="1"/>
        </w:numPr>
        <w:ind w:firstLine="640" w:firstLineChars="200"/>
        <w:rPr>
          <w:rFonts w:ascii="仿宋_GB2312" w:hAnsi="仿宋" w:eastAsia="仿宋_GB2312"/>
          <w:kern w:val="0"/>
          <w:sz w:val="32"/>
          <w:szCs w:val="32"/>
        </w:rPr>
      </w:pPr>
      <w:r>
        <w:rPr>
          <w:rFonts w:ascii="仿宋_GB2312" w:hAnsi="仿宋" w:eastAsia="仿宋_GB2312"/>
          <w:kern w:val="0"/>
          <w:sz w:val="32"/>
          <w:szCs w:val="32"/>
        </w:rPr>
        <w:t>政务服务管理科（行政审批制度改革科）。负责 拟订政务服务政策、制度、办法和措施并组织实施。承担 全市政务服务体系建设相关工作，对进驻的政务服务事项 进行审核，对</w:t>
      </w:r>
      <w:r>
        <w:rPr>
          <w:rFonts w:hint="eastAsia" w:ascii="仿宋_GB2312" w:hAnsi="仿宋" w:eastAsia="仿宋_GB2312"/>
          <w:kern w:val="0"/>
          <w:sz w:val="32"/>
          <w:szCs w:val="32"/>
          <w:lang w:eastAsia="zh-CN"/>
        </w:rPr>
        <w:t>单位</w:t>
      </w:r>
      <w:r>
        <w:rPr>
          <w:rFonts w:ascii="仿宋_GB2312" w:hAnsi="仿宋" w:eastAsia="仿宋_GB2312"/>
          <w:kern w:val="0"/>
          <w:sz w:val="32"/>
          <w:szCs w:val="32"/>
        </w:rPr>
        <w:t>进驻人员进行监督和考核。牵头政务服 务目标考核相关工作。负责组织开展并联审批服务工作。 指导、监督相关电子政务服务平台建设和运行等工作。负 责政务服务信息化建设相关工作。对</w:t>
      </w:r>
      <w:r>
        <w:rPr>
          <w:rFonts w:hint="eastAsia" w:ascii="仿宋_GB2312" w:hAnsi="仿宋" w:eastAsia="仿宋_GB2312"/>
          <w:kern w:val="0"/>
          <w:sz w:val="32"/>
          <w:szCs w:val="32"/>
          <w:lang w:eastAsia="zh-CN"/>
        </w:rPr>
        <w:t>单位</w:t>
      </w:r>
      <w:r>
        <w:rPr>
          <w:rFonts w:ascii="仿宋_GB2312" w:hAnsi="仿宋" w:eastAsia="仿宋_GB2312"/>
          <w:kern w:val="0"/>
          <w:sz w:val="32"/>
          <w:szCs w:val="32"/>
        </w:rPr>
        <w:t>（单位）独立设 置的办事大厅进行业务指导和监督。受理并牵头组织办理 政务服务投诉。负责拟订深化行政审批制度改革的制度、 办法和措施并组织实施。指导、协调、监督并推进深化行 政审批制度改革工作, 对市级</w:t>
      </w:r>
      <w:r>
        <w:rPr>
          <w:rFonts w:hint="eastAsia" w:ascii="仿宋_GB2312" w:hAnsi="仿宋" w:eastAsia="仿宋_GB2312"/>
          <w:kern w:val="0"/>
          <w:sz w:val="32"/>
          <w:szCs w:val="32"/>
          <w:lang w:eastAsia="zh-CN"/>
        </w:rPr>
        <w:t>单位</w:t>
      </w:r>
      <w:r>
        <w:rPr>
          <w:rFonts w:ascii="仿宋_GB2312" w:hAnsi="仿宋" w:eastAsia="仿宋_GB2312"/>
          <w:kern w:val="0"/>
          <w:sz w:val="32"/>
          <w:szCs w:val="32"/>
        </w:rPr>
        <w:t xml:space="preserve">（单位）取消、保留或 调整的行政审批事项运行进行组织协调和监督，实施动态 管理。组织开展深化行政审批制度改革的调查研究、评估 分析。承担相对集中行政许可权改革相关工作。 </w:t>
      </w:r>
    </w:p>
    <w:p w14:paraId="36FAC2DD">
      <w:pPr>
        <w:ind w:firstLine="640" w:firstLineChars="200"/>
        <w:rPr>
          <w:rFonts w:ascii="仿宋_GB2312" w:hAnsi="仿宋" w:eastAsia="仿宋_GB2312"/>
          <w:kern w:val="0"/>
          <w:sz w:val="32"/>
          <w:szCs w:val="32"/>
        </w:rPr>
      </w:pPr>
      <w:r>
        <w:rPr>
          <w:rFonts w:ascii="仿宋_GB2312" w:hAnsi="仿宋" w:eastAsia="仿宋_GB2312"/>
          <w:kern w:val="0"/>
          <w:sz w:val="32"/>
          <w:szCs w:val="32"/>
        </w:rPr>
        <w:t xml:space="preserve">（三）公共资源交易管理科（监督检查科）。牵头组织 政务服务相关法律、法规、政策、措施执行情况的监督检 查工作。负责拟订公共资源交易管理服务的政策、制度、 办法和措施并组织实施。承担全市公共资源交易体系建设 相关工作。负责公共资源交易招投标活动的现场监督管理。 受理全市违反公共资源交易管理规定行为投诉并协调相关 </w:t>
      </w:r>
      <w:r>
        <w:rPr>
          <w:rFonts w:hint="eastAsia" w:ascii="仿宋_GB2312" w:hAnsi="仿宋" w:eastAsia="仿宋_GB2312"/>
          <w:kern w:val="0"/>
          <w:sz w:val="32"/>
          <w:szCs w:val="32"/>
          <w:lang w:eastAsia="zh-CN"/>
        </w:rPr>
        <w:t>单位</w:t>
      </w:r>
      <w:r>
        <w:rPr>
          <w:rFonts w:ascii="仿宋_GB2312" w:hAnsi="仿宋" w:eastAsia="仿宋_GB2312"/>
          <w:kern w:val="0"/>
          <w:sz w:val="32"/>
          <w:szCs w:val="32"/>
        </w:rPr>
        <w:t>按规定进行处理。</w:t>
      </w:r>
    </w:p>
    <w:p w14:paraId="487AFECA">
      <w:pPr>
        <w:pStyle w:val="3"/>
        <w:jc w:val="both"/>
        <w:rPr>
          <w:rFonts w:hint="eastAsia" w:eastAsia="方正小标宋简体" w:cs="方正小标宋简体"/>
          <w:b w:val="0"/>
        </w:rPr>
      </w:pPr>
    </w:p>
    <w:p w14:paraId="67A559C2">
      <w:pPr>
        <w:rPr>
          <w:rFonts w:hint="eastAsia"/>
        </w:rPr>
      </w:pPr>
    </w:p>
    <w:p w14:paraId="5C382F39">
      <w:pPr>
        <w:rPr>
          <w:rFonts w:hint="eastAsia"/>
        </w:rPr>
      </w:pPr>
    </w:p>
    <w:p w14:paraId="7CAF7769">
      <w:pPr>
        <w:pStyle w:val="3"/>
        <w:jc w:val="center"/>
      </w:pPr>
      <w:r>
        <w:rPr>
          <w:rFonts w:hint="eastAsia" w:eastAsia="方正小标宋简体" w:cs="方正小标宋简体"/>
          <w:b w:val="0"/>
        </w:rPr>
        <w:t>第二部分2024年度</w:t>
      </w:r>
      <w:r>
        <w:rPr>
          <w:rFonts w:hint="eastAsia" w:eastAsia="方正小标宋简体" w:cs="方正小标宋简体"/>
          <w:b w:val="0"/>
          <w:lang w:eastAsia="zh-CN"/>
        </w:rPr>
        <w:t>单位</w:t>
      </w:r>
      <w:r>
        <w:rPr>
          <w:rFonts w:hint="eastAsia" w:eastAsia="方正小标宋简体" w:cs="方正小标宋简体"/>
          <w:b w:val="0"/>
        </w:rPr>
        <w:t>决算情况说明</w:t>
      </w:r>
      <w:bookmarkEnd w:id="11"/>
      <w:bookmarkEnd w:id="12"/>
    </w:p>
    <w:p w14:paraId="56A567A4">
      <w:pPr>
        <w:pStyle w:val="27"/>
        <w:spacing w:line="600" w:lineRule="exact"/>
        <w:ind w:firstLine="640"/>
        <w:outlineLvl w:val="1"/>
        <w:rPr>
          <w:rStyle w:val="29"/>
          <w:rFonts w:ascii="Times New Roman" w:hAnsi="Times New Roman" w:eastAsia="黑体"/>
          <w:b w:val="0"/>
        </w:rPr>
      </w:pPr>
      <w:bookmarkStart w:id="13" w:name="_Toc15377205"/>
      <w:bookmarkStart w:id="14" w:name="_Toc15396603"/>
      <w:r>
        <w:rPr>
          <w:rFonts w:hint="eastAsia" w:eastAsia="黑体"/>
          <w:sz w:val="32"/>
          <w:szCs w:val="32"/>
        </w:rPr>
        <w:t>一、收</w:t>
      </w:r>
      <w:r>
        <w:rPr>
          <w:rStyle w:val="29"/>
          <w:rFonts w:hint="eastAsia" w:ascii="Times New Roman" w:hAnsi="Times New Roman" w:eastAsia="黑体"/>
          <w:b w:val="0"/>
        </w:rPr>
        <w:t>入支出决算总体情况说明</w:t>
      </w:r>
      <w:bookmarkEnd w:id="13"/>
      <w:bookmarkEnd w:id="14"/>
    </w:p>
    <w:p w14:paraId="53123273">
      <w:pPr>
        <w:pStyle w:val="27"/>
        <w:spacing w:line="600" w:lineRule="exact"/>
        <w:ind w:firstLine="640"/>
        <w:outlineLvl w:val="1"/>
        <w:rPr>
          <w:rFonts w:hint="eastAsia" w:eastAsia="仿宋_GB2312" w:cs="仿宋_GB2312"/>
          <w:sz w:val="32"/>
          <w:szCs w:val="32"/>
          <w:lang w:val="en-US" w:eastAsia="zh-CN"/>
        </w:rPr>
      </w:pPr>
      <w:r>
        <w:rPr>
          <w:rFonts w:hint="eastAsia" w:eastAsia="仿宋_GB2312" w:cs="仿宋_GB2312"/>
          <w:sz w:val="32"/>
          <w:szCs w:val="32"/>
        </w:rPr>
        <w:t>2024年度收入、支出总计均为</w:t>
      </w:r>
      <w:r>
        <w:rPr>
          <w:rFonts w:hint="eastAsia" w:ascii="仿宋_GB2312" w:hAnsi="仿宋_GB2312" w:eastAsia="仿宋_GB2312" w:cs="仿宋_GB2312"/>
          <w:sz w:val="32"/>
          <w:szCs w:val="32"/>
        </w:rPr>
        <w:t>1654.79</w:t>
      </w:r>
      <w:r>
        <w:rPr>
          <w:rFonts w:hint="eastAsia" w:eastAsia="仿宋_GB2312" w:cs="仿宋_GB2312"/>
          <w:sz w:val="32"/>
          <w:szCs w:val="32"/>
        </w:rPr>
        <w:t>万元。与2023年度相比，收入、支出总计各增加</w:t>
      </w:r>
      <w:r>
        <w:rPr>
          <w:rFonts w:hint="eastAsia" w:eastAsia="仿宋_GB2312" w:cs="仿宋_GB2312"/>
          <w:sz w:val="32"/>
          <w:szCs w:val="32"/>
          <w:lang w:val="en-US" w:eastAsia="zh-CN"/>
        </w:rPr>
        <w:t>472.36</w:t>
      </w:r>
      <w:r>
        <w:rPr>
          <w:rFonts w:hint="eastAsia" w:eastAsia="仿宋_GB2312" w:cs="仿宋_GB2312"/>
          <w:sz w:val="32"/>
          <w:szCs w:val="32"/>
        </w:rPr>
        <w:t>万元，增长</w:t>
      </w:r>
      <w:r>
        <w:rPr>
          <w:rFonts w:hint="eastAsia" w:eastAsia="仿宋_GB2312" w:cs="仿宋_GB2312"/>
          <w:sz w:val="32"/>
          <w:szCs w:val="32"/>
          <w:lang w:val="en-US" w:eastAsia="zh-CN"/>
        </w:rPr>
        <w:t>39.95</w:t>
      </w:r>
      <w:r>
        <w:rPr>
          <w:rFonts w:hint="eastAsia" w:eastAsia="仿宋_GB2312" w:cs="仿宋_GB2312"/>
          <w:sz w:val="32"/>
          <w:szCs w:val="32"/>
        </w:rPr>
        <w:t>%。主要变动原因是</w:t>
      </w:r>
      <w:r>
        <w:rPr>
          <w:rFonts w:hint="eastAsia" w:eastAsia="仿宋_GB2312" w:cs="仿宋_GB2312"/>
          <w:sz w:val="32"/>
          <w:szCs w:val="32"/>
          <w:lang w:val="en-US" w:eastAsia="zh-CN"/>
        </w:rPr>
        <w:t>2024年清偿中小企业账款。</w:t>
      </w:r>
    </w:p>
    <w:p w14:paraId="3BB3C26C">
      <w:pPr>
        <w:pStyle w:val="27"/>
        <w:spacing w:line="240" w:lineRule="auto"/>
        <w:ind w:firstLine="640"/>
        <w:outlineLvl w:val="1"/>
        <w:rPr>
          <w:rFonts w:hint="default" w:eastAsia="仿宋_GB2312" w:cs="仿宋_GB2312"/>
          <w:sz w:val="32"/>
          <w:szCs w:val="32"/>
          <w:lang w:val="en-US" w:eastAsia="zh-CN"/>
        </w:rPr>
      </w:pPr>
      <w:r>
        <w:rPr>
          <w:rFonts w:hint="eastAsia" w:eastAsia="仿宋_GB2312" w:cs="仿宋_GB2312"/>
          <w:sz w:val="32"/>
          <w:szCs w:val="32"/>
          <w:lang w:val="en-US" w:eastAsia="zh-CN"/>
        </w:rPr>
        <w:t xml:space="preserve">        </w:t>
      </w:r>
      <w:r>
        <w:rPr>
          <w:rFonts w:hint="default" w:eastAsia="仿宋_GB2312" w:cs="仿宋_GB2312"/>
          <w:sz w:val="32"/>
          <w:szCs w:val="32"/>
          <w:lang w:val="en-US" w:eastAsia="zh-CN"/>
        </w:rPr>
        <w:drawing>
          <wp:inline distT="0" distB="0" distL="114300" distR="114300">
            <wp:extent cx="2752090" cy="2082165"/>
            <wp:effectExtent l="0" t="0" r="6350" b="571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8"/>
                    <a:stretch>
                      <a:fillRect/>
                    </a:stretch>
                  </pic:blipFill>
                  <pic:spPr>
                    <a:xfrm>
                      <a:off x="0" y="0"/>
                      <a:ext cx="2752090" cy="2082165"/>
                    </a:xfrm>
                    <a:prstGeom prst="rect">
                      <a:avLst/>
                    </a:prstGeom>
                  </pic:spPr>
                </pic:pic>
              </a:graphicData>
            </a:graphic>
          </wp:inline>
        </w:drawing>
      </w:r>
    </w:p>
    <w:p w14:paraId="6C7981C3">
      <w:pPr>
        <w:ind w:firstLine="1280" w:firstLineChars="400"/>
        <w:rPr>
          <w:rFonts w:eastAsia="仿宋_GB2312" w:cs="仿宋_GB2312"/>
          <w:sz w:val="32"/>
          <w:szCs w:val="32"/>
        </w:rPr>
      </w:pPr>
      <w:r>
        <w:rPr>
          <w:rFonts w:hint="eastAsia" w:eastAsia="仿宋_GB2312" w:cs="仿宋_GB2312"/>
          <w:sz w:val="32"/>
          <w:szCs w:val="32"/>
        </w:rPr>
        <w:t>（图1：收入、支出决算总计变动情况图）</w:t>
      </w:r>
    </w:p>
    <w:p w14:paraId="6FA2F8AF">
      <w:pPr>
        <w:pStyle w:val="27"/>
        <w:spacing w:line="600" w:lineRule="exact"/>
        <w:ind w:firstLine="640"/>
        <w:outlineLvl w:val="1"/>
        <w:rPr>
          <w:rFonts w:eastAsia="黑体"/>
          <w:sz w:val="32"/>
          <w:szCs w:val="32"/>
        </w:rPr>
      </w:pPr>
      <w:bookmarkStart w:id="15" w:name="_Toc15377206"/>
      <w:bookmarkStart w:id="16" w:name="_Toc15396604"/>
      <w:r>
        <w:rPr>
          <w:rFonts w:hint="eastAsia" w:eastAsia="黑体"/>
          <w:sz w:val="32"/>
          <w:szCs w:val="32"/>
        </w:rPr>
        <w:t>二、收入决算情况说明</w:t>
      </w:r>
      <w:bookmarkEnd w:id="15"/>
      <w:bookmarkEnd w:id="16"/>
    </w:p>
    <w:p w14:paraId="438F47EE">
      <w:pPr>
        <w:pStyle w:val="27"/>
        <w:spacing w:line="600" w:lineRule="exact"/>
        <w:ind w:firstLine="640"/>
        <w:jc w:val="left"/>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2024年度本年收入合计1654.79万元，其中：一般公共预算财政拨款收入1534.79万元，占92.74%；政府性基金预算财政拨款收入120万元，占7.25%</w:t>
      </w:r>
      <w:r>
        <w:rPr>
          <w:rFonts w:hint="eastAsia" w:ascii="仿宋_GB2312" w:hAnsi="仿宋_GB2312" w:eastAsia="仿宋_GB2312" w:cs="仿宋_GB2312"/>
          <w:sz w:val="32"/>
          <w:szCs w:val="32"/>
          <w:lang w:eastAsia="zh-CN"/>
        </w:rPr>
        <w:t>。</w:t>
      </w:r>
    </w:p>
    <w:p w14:paraId="220546D7">
      <w:pPr>
        <w:pStyle w:val="27"/>
        <w:spacing w:line="240" w:lineRule="auto"/>
        <w:ind w:firstLine="640"/>
        <w:jc w:val="left"/>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drawing>
          <wp:inline distT="0" distB="0" distL="114300" distR="114300">
            <wp:extent cx="2832100" cy="1912620"/>
            <wp:effectExtent l="0" t="0" r="2540" b="762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9"/>
                    <a:stretch>
                      <a:fillRect/>
                    </a:stretch>
                  </pic:blipFill>
                  <pic:spPr>
                    <a:xfrm>
                      <a:off x="0" y="0"/>
                      <a:ext cx="2832100" cy="1912620"/>
                    </a:xfrm>
                    <a:prstGeom prst="rect">
                      <a:avLst/>
                    </a:prstGeom>
                  </pic:spPr>
                </pic:pic>
              </a:graphicData>
            </a:graphic>
          </wp:inline>
        </w:drawing>
      </w:r>
    </w:p>
    <w:p w14:paraId="62515D0D">
      <w:pPr>
        <w:ind w:firstLine="2240" w:firstLineChars="700"/>
        <w:rPr>
          <w:rFonts w:hint="eastAsia" w:eastAsia="仿宋_GB2312" w:cs="仿宋_GB2312"/>
          <w:sz w:val="32"/>
          <w:szCs w:val="32"/>
          <w:lang w:eastAsia="zh-CN"/>
        </w:rPr>
      </w:pPr>
      <w:r>
        <w:rPr>
          <w:rFonts w:hint="eastAsia" w:eastAsia="仿宋_GB2312" w:cs="仿宋_GB2312"/>
          <w:sz w:val="32"/>
          <w:szCs w:val="32"/>
        </w:rPr>
        <w:t>（图2：收入决算结构图）</w:t>
      </w:r>
      <w:r>
        <w:rPr>
          <w:rFonts w:hint="eastAsia" w:eastAsia="仿宋_GB2312" w:cs="仿宋_GB2312"/>
          <w:sz w:val="32"/>
          <w:szCs w:val="32"/>
          <w:lang w:val="en-US" w:eastAsia="zh-CN"/>
        </w:rPr>
        <w:t xml:space="preserve"> </w:t>
      </w:r>
    </w:p>
    <w:p w14:paraId="3D9608F6">
      <w:pPr>
        <w:pStyle w:val="27"/>
        <w:spacing w:line="600" w:lineRule="exact"/>
        <w:ind w:firstLine="640"/>
        <w:outlineLvl w:val="1"/>
        <w:rPr>
          <w:rStyle w:val="29"/>
          <w:rFonts w:ascii="Times New Roman" w:hAnsi="Times New Roman" w:eastAsia="黑体"/>
          <w:b w:val="0"/>
        </w:rPr>
      </w:pPr>
      <w:bookmarkStart w:id="17" w:name="_Toc15396605"/>
      <w:bookmarkStart w:id="18" w:name="_Toc15377207"/>
      <w:r>
        <w:rPr>
          <w:rFonts w:hint="eastAsia" w:eastAsia="黑体"/>
          <w:sz w:val="32"/>
          <w:szCs w:val="32"/>
        </w:rPr>
        <w:t>三、支</w:t>
      </w:r>
      <w:r>
        <w:rPr>
          <w:rStyle w:val="29"/>
          <w:rFonts w:hint="eastAsia" w:ascii="Times New Roman" w:hAnsi="Times New Roman" w:eastAsia="黑体"/>
          <w:b w:val="0"/>
        </w:rPr>
        <w:t>出决算情况说明</w:t>
      </w:r>
      <w:bookmarkEnd w:id="17"/>
      <w:bookmarkEnd w:id="18"/>
    </w:p>
    <w:p w14:paraId="02308E3D">
      <w:pPr>
        <w:pStyle w:val="27"/>
        <w:spacing w:line="600" w:lineRule="exact"/>
        <w:ind w:firstLine="64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2024年度本年支出合计1654.79万元，其中：基本支出797.18万元，占48.17%；项目支出857.6万元，占51.82%。</w:t>
      </w:r>
    </w:p>
    <w:p w14:paraId="2B4A9E4A">
      <w:pPr>
        <w:pStyle w:val="27"/>
        <w:spacing w:line="240" w:lineRule="auto"/>
        <w:ind w:firstLine="640"/>
        <w:jc w:val="left"/>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drawing>
          <wp:inline distT="0" distB="0" distL="114300" distR="114300">
            <wp:extent cx="2871470" cy="2590165"/>
            <wp:effectExtent l="0" t="0" r="8890" b="63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10"/>
                    <a:stretch>
                      <a:fillRect/>
                    </a:stretch>
                  </pic:blipFill>
                  <pic:spPr>
                    <a:xfrm>
                      <a:off x="0" y="0"/>
                      <a:ext cx="2871470" cy="2590165"/>
                    </a:xfrm>
                    <a:prstGeom prst="rect">
                      <a:avLst/>
                    </a:prstGeom>
                  </pic:spPr>
                </pic:pic>
              </a:graphicData>
            </a:graphic>
          </wp:inline>
        </w:drawing>
      </w:r>
    </w:p>
    <w:p w14:paraId="29535946">
      <w:pPr>
        <w:ind w:firstLine="2240" w:firstLineChars="700"/>
        <w:rPr>
          <w:rFonts w:hint="eastAsia" w:eastAsia="仿宋_GB2312" w:cs="仿宋_GB2312"/>
          <w:sz w:val="32"/>
          <w:szCs w:val="32"/>
          <w:lang w:val="en-US" w:eastAsia="zh-CN"/>
        </w:rPr>
      </w:pPr>
      <w:r>
        <w:rPr>
          <w:rFonts w:hint="eastAsia" w:eastAsia="仿宋_GB2312" w:cs="仿宋_GB2312"/>
          <w:sz w:val="32"/>
          <w:szCs w:val="32"/>
        </w:rPr>
        <w:t>（图3：支出决算结构图）</w:t>
      </w:r>
      <w:r>
        <w:rPr>
          <w:rFonts w:hint="eastAsia" w:eastAsia="仿宋_GB2312" w:cs="仿宋_GB2312"/>
          <w:sz w:val="32"/>
          <w:szCs w:val="32"/>
          <w:lang w:val="en-US" w:eastAsia="zh-CN"/>
        </w:rPr>
        <w:t xml:space="preserve"> </w:t>
      </w:r>
    </w:p>
    <w:p w14:paraId="3BA0BBDF">
      <w:pPr>
        <w:spacing w:line="600" w:lineRule="exact"/>
        <w:ind w:firstLine="640" w:firstLineChars="200"/>
        <w:outlineLvl w:val="1"/>
        <w:rPr>
          <w:rStyle w:val="29"/>
          <w:rFonts w:ascii="Times New Roman" w:hAnsi="Times New Roman" w:eastAsia="黑体"/>
          <w:b w:val="0"/>
        </w:rPr>
      </w:pPr>
      <w:bookmarkStart w:id="19" w:name="_Toc15396606"/>
      <w:bookmarkStart w:id="20" w:name="_Toc15377208"/>
      <w:r>
        <w:rPr>
          <w:rFonts w:hint="eastAsia" w:eastAsia="黑体"/>
          <w:sz w:val="32"/>
          <w:szCs w:val="32"/>
        </w:rPr>
        <w:t>四、财</w:t>
      </w:r>
      <w:r>
        <w:rPr>
          <w:rStyle w:val="29"/>
          <w:rFonts w:hint="eastAsia" w:ascii="Times New Roman" w:hAnsi="Times New Roman" w:eastAsia="黑体"/>
          <w:b w:val="0"/>
        </w:rPr>
        <w:t>政拨款收入支出决算总体情况说明</w:t>
      </w:r>
      <w:bookmarkEnd w:id="19"/>
      <w:bookmarkEnd w:id="20"/>
    </w:p>
    <w:p w14:paraId="15517B6B">
      <w:pPr>
        <w:spacing w:line="600" w:lineRule="exact"/>
        <w:ind w:firstLine="640"/>
        <w:rPr>
          <w:rFonts w:hint="eastAsia" w:eastAsia="仿宋_GB2312" w:cs="仿宋_GB2312"/>
          <w:sz w:val="32"/>
          <w:szCs w:val="32"/>
          <w:lang w:val="en-US" w:eastAsia="zh-CN"/>
        </w:rPr>
      </w:pPr>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rPr>
        <w:t>1654.79</w:t>
      </w:r>
      <w:r>
        <w:rPr>
          <w:rFonts w:hint="eastAsia" w:eastAsia="仿宋_GB2312" w:cs="仿宋_GB2312"/>
          <w:sz w:val="32"/>
          <w:szCs w:val="32"/>
        </w:rPr>
        <w:t>万元。与2023年度相比，财政拨款收入总计、支出总计各增加</w:t>
      </w:r>
      <w:r>
        <w:rPr>
          <w:rFonts w:hint="eastAsia" w:eastAsia="仿宋_GB2312" w:cs="仿宋_GB2312"/>
          <w:sz w:val="32"/>
          <w:szCs w:val="32"/>
          <w:lang w:val="en-US" w:eastAsia="zh-CN"/>
        </w:rPr>
        <w:t>472.36</w:t>
      </w:r>
      <w:r>
        <w:rPr>
          <w:rFonts w:hint="eastAsia" w:eastAsia="仿宋_GB2312" w:cs="仿宋_GB2312"/>
          <w:sz w:val="32"/>
          <w:szCs w:val="32"/>
        </w:rPr>
        <w:t>万元，增长</w:t>
      </w:r>
      <w:r>
        <w:rPr>
          <w:rFonts w:hint="eastAsia" w:eastAsia="仿宋_GB2312" w:cs="仿宋_GB2312"/>
          <w:sz w:val="32"/>
          <w:szCs w:val="32"/>
          <w:lang w:val="en-US" w:eastAsia="zh-CN"/>
        </w:rPr>
        <w:t>39.95</w:t>
      </w:r>
      <w:r>
        <w:rPr>
          <w:rFonts w:hint="eastAsia" w:eastAsia="仿宋_GB2312" w:cs="仿宋_GB2312"/>
          <w:sz w:val="32"/>
          <w:szCs w:val="32"/>
        </w:rPr>
        <w:t>%。主要变动原因是</w:t>
      </w:r>
      <w:r>
        <w:rPr>
          <w:rFonts w:hint="eastAsia" w:eastAsia="仿宋_GB2312" w:cs="仿宋_GB2312"/>
          <w:sz w:val="32"/>
          <w:szCs w:val="32"/>
          <w:lang w:val="en-US" w:eastAsia="zh-CN"/>
        </w:rPr>
        <w:t>2024年清偿中小企业账款。</w:t>
      </w:r>
    </w:p>
    <w:p w14:paraId="635E1753">
      <w:pPr>
        <w:pStyle w:val="2"/>
      </w:pPr>
      <w:r>
        <w:rPr>
          <w:rFonts w:hint="eastAsia"/>
          <w:lang w:val="en-US" w:eastAsia="zh-CN"/>
        </w:rPr>
        <w:t xml:space="preserve">            </w:t>
      </w:r>
      <w:r>
        <w:drawing>
          <wp:inline distT="0" distB="0" distL="114300" distR="114300">
            <wp:extent cx="2905125" cy="2083435"/>
            <wp:effectExtent l="0" t="0" r="5715" b="4445"/>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11"/>
                    <a:stretch>
                      <a:fillRect/>
                    </a:stretch>
                  </pic:blipFill>
                  <pic:spPr>
                    <a:xfrm>
                      <a:off x="0" y="0"/>
                      <a:ext cx="2905125" cy="2083435"/>
                    </a:xfrm>
                    <a:prstGeom prst="rect">
                      <a:avLst/>
                    </a:prstGeom>
                  </pic:spPr>
                </pic:pic>
              </a:graphicData>
            </a:graphic>
          </wp:inline>
        </w:drawing>
      </w:r>
    </w:p>
    <w:p w14:paraId="371C4828">
      <w:pPr>
        <w:spacing w:line="600" w:lineRule="exact"/>
        <w:ind w:firstLine="960" w:firstLineChars="300"/>
        <w:rPr>
          <w:rFonts w:hint="eastAsia" w:eastAsia="仿宋_GB2312" w:cs="仿宋_GB2312"/>
          <w:sz w:val="32"/>
          <w:szCs w:val="32"/>
          <w:lang w:val="en-US" w:eastAsia="zh-CN"/>
        </w:rPr>
      </w:pPr>
      <w:r>
        <w:rPr>
          <w:rFonts w:hint="eastAsia" w:eastAsia="仿宋_GB2312" w:cs="仿宋_GB2312"/>
          <w:sz w:val="32"/>
          <w:szCs w:val="32"/>
        </w:rPr>
        <w:t>（图4：财政拨款收、支决算总计变动情况）</w:t>
      </w:r>
      <w:r>
        <w:rPr>
          <w:rFonts w:hint="eastAsia" w:eastAsia="仿宋_GB2312" w:cs="仿宋_GB2312"/>
          <w:sz w:val="32"/>
          <w:szCs w:val="32"/>
          <w:lang w:val="en-US" w:eastAsia="zh-CN"/>
        </w:rPr>
        <w:t xml:space="preserve"> </w:t>
      </w:r>
    </w:p>
    <w:p w14:paraId="28D037D8">
      <w:pPr>
        <w:spacing w:line="600" w:lineRule="exact"/>
        <w:ind w:firstLine="640" w:firstLineChars="200"/>
        <w:outlineLvl w:val="1"/>
        <w:rPr>
          <w:rStyle w:val="29"/>
          <w:rFonts w:ascii="Times New Roman" w:hAnsi="Times New Roman" w:eastAsia="黑体"/>
          <w:b w:val="0"/>
        </w:rPr>
      </w:pPr>
      <w:bookmarkStart w:id="21" w:name="_Toc15377209"/>
      <w:bookmarkStart w:id="22" w:name="_Toc15396607"/>
      <w:r>
        <w:rPr>
          <w:rFonts w:hint="eastAsia" w:eastAsia="黑体"/>
          <w:sz w:val="32"/>
          <w:szCs w:val="32"/>
        </w:rPr>
        <w:t>五、</w:t>
      </w:r>
      <w:r>
        <w:rPr>
          <w:rFonts w:hint="eastAsia" w:eastAsia="黑体"/>
          <w:b/>
          <w:sz w:val="32"/>
          <w:szCs w:val="32"/>
        </w:rPr>
        <w:t>一</w:t>
      </w:r>
      <w:r>
        <w:rPr>
          <w:rStyle w:val="29"/>
          <w:rFonts w:hint="eastAsia" w:ascii="Times New Roman" w:hAnsi="Times New Roman" w:eastAsia="黑体"/>
          <w:b w:val="0"/>
        </w:rPr>
        <w:t>般公共预算财政拨款支出决算情况说明</w:t>
      </w:r>
      <w:bookmarkEnd w:id="21"/>
      <w:bookmarkEnd w:id="22"/>
    </w:p>
    <w:p w14:paraId="2C9A0AC1">
      <w:pPr>
        <w:spacing w:line="600" w:lineRule="exact"/>
        <w:ind w:firstLine="643" w:firstLineChars="200"/>
        <w:outlineLvl w:val="2"/>
        <w:rPr>
          <w:rFonts w:eastAsia="楷体_GB2312" w:cs="楷体_GB2312"/>
          <w:b/>
          <w:sz w:val="32"/>
          <w:szCs w:val="32"/>
        </w:rPr>
      </w:pPr>
      <w:bookmarkStart w:id="23" w:name="_Toc15377210"/>
      <w:r>
        <w:rPr>
          <w:rFonts w:hint="eastAsia" w:eastAsia="楷体_GB2312" w:cs="楷体_GB2312"/>
          <w:b/>
          <w:sz w:val="32"/>
          <w:szCs w:val="32"/>
        </w:rPr>
        <w:t>（一）一般公共预算财政拨款支出决算总体情况</w:t>
      </w:r>
      <w:bookmarkEnd w:id="23"/>
    </w:p>
    <w:p w14:paraId="4A3B6157">
      <w:pPr>
        <w:spacing w:line="600" w:lineRule="exact"/>
        <w:ind w:firstLine="640"/>
        <w:rPr>
          <w:rFonts w:hint="eastAsia" w:eastAsia="仿宋_GB2312" w:cs="仿宋_GB2312"/>
          <w:sz w:val="32"/>
          <w:szCs w:val="32"/>
          <w:lang w:val="en-US" w:eastAsia="zh-CN"/>
        </w:rPr>
      </w:pPr>
      <w:r>
        <w:rPr>
          <w:rFonts w:hint="eastAsia" w:ascii="仿宋_GB2312" w:hAnsi="仿宋_GB2312" w:eastAsia="仿宋_GB2312" w:cs="仿宋_GB2312"/>
          <w:sz w:val="32"/>
          <w:szCs w:val="32"/>
        </w:rPr>
        <w:t>2024年度一般公共预算财政拨款支出1534.79万元，占本年支出合计的92.74%。与2023年度相比，一般公共预算财政拨款支出增加</w:t>
      </w:r>
      <w:r>
        <w:rPr>
          <w:rFonts w:hint="eastAsia" w:ascii="仿宋_GB2312" w:hAnsi="仿宋_GB2312" w:eastAsia="仿宋_GB2312" w:cs="仿宋_GB2312"/>
          <w:sz w:val="32"/>
          <w:szCs w:val="32"/>
          <w:lang w:val="en-US" w:eastAsia="zh-CN"/>
        </w:rPr>
        <w:t>352.36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29.8</w:t>
      </w:r>
      <w:r>
        <w:rPr>
          <w:rFonts w:hint="eastAsia" w:ascii="仿宋_GB2312" w:hAnsi="仿宋_GB2312" w:eastAsia="仿宋_GB2312" w:cs="仿宋_GB2312"/>
          <w:sz w:val="32"/>
          <w:szCs w:val="32"/>
        </w:rPr>
        <w:t>%。主要变动原因是</w:t>
      </w:r>
      <w:r>
        <w:rPr>
          <w:rFonts w:hint="eastAsia" w:eastAsia="仿宋_GB2312" w:cs="仿宋_GB2312"/>
          <w:sz w:val="32"/>
          <w:szCs w:val="32"/>
          <w:lang w:val="en-US" w:eastAsia="zh-CN"/>
        </w:rPr>
        <w:t>2024年清偿中小企业账款。</w:t>
      </w:r>
    </w:p>
    <w:p w14:paraId="51ED5C94">
      <w:pPr>
        <w:pStyle w:val="2"/>
        <w:rPr>
          <w:rFonts w:hint="eastAsia" w:eastAsia="仿宋_GB2312" w:cs="仿宋_GB2312"/>
          <w:sz w:val="32"/>
          <w:szCs w:val="32"/>
          <w:lang w:val="en-US" w:eastAsia="zh-CN"/>
        </w:rPr>
      </w:pPr>
      <w:r>
        <w:rPr>
          <w:rFonts w:hint="eastAsia" w:cs="仿宋_GB2312"/>
          <w:sz w:val="32"/>
          <w:szCs w:val="32"/>
          <w:lang w:val="en-US" w:eastAsia="zh-CN"/>
        </w:rPr>
        <w:t xml:space="preserve">      </w:t>
      </w:r>
      <w:r>
        <w:rPr>
          <w:rFonts w:hint="eastAsia" w:eastAsia="仿宋_GB2312" w:cs="仿宋_GB2312"/>
          <w:sz w:val="32"/>
          <w:szCs w:val="32"/>
          <w:lang w:val="en-US" w:eastAsia="zh-CN"/>
        </w:rPr>
        <w:drawing>
          <wp:inline distT="0" distB="0" distL="114300" distR="114300">
            <wp:extent cx="4083050" cy="2496820"/>
            <wp:effectExtent l="0" t="0" r="1270" b="2540"/>
            <wp:docPr id="7" name="图片 7"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0"/>
                    <pic:cNvPicPr>
                      <a:picLocks noChangeAspect="1"/>
                    </pic:cNvPicPr>
                  </pic:nvPicPr>
                  <pic:blipFill>
                    <a:blip r:embed="rId12"/>
                    <a:stretch>
                      <a:fillRect/>
                    </a:stretch>
                  </pic:blipFill>
                  <pic:spPr>
                    <a:xfrm>
                      <a:off x="0" y="0"/>
                      <a:ext cx="4083050" cy="2496820"/>
                    </a:xfrm>
                    <a:prstGeom prst="rect">
                      <a:avLst/>
                    </a:prstGeom>
                  </pic:spPr>
                </pic:pic>
              </a:graphicData>
            </a:graphic>
          </wp:inline>
        </w:drawing>
      </w:r>
    </w:p>
    <w:p w14:paraId="2A7B66A7">
      <w:pPr>
        <w:spacing w:line="600" w:lineRule="exact"/>
        <w:ind w:firstLine="640"/>
        <w:rPr>
          <w:rFonts w:eastAsia="仿宋_GB2312" w:cs="仿宋_GB2312"/>
          <w:sz w:val="32"/>
          <w:szCs w:val="32"/>
        </w:rPr>
      </w:pPr>
      <w:r>
        <w:rPr>
          <w:rFonts w:hint="eastAsia" w:eastAsia="仿宋_GB2312" w:cs="仿宋_GB2312"/>
          <w:sz w:val="32"/>
          <w:szCs w:val="32"/>
        </w:rPr>
        <w:t>（图5：一般公共预算财政拨款支出决算变动情况）</w:t>
      </w:r>
    </w:p>
    <w:p w14:paraId="5450CFEC">
      <w:pPr>
        <w:spacing w:line="600" w:lineRule="exact"/>
        <w:ind w:firstLine="643" w:firstLineChars="200"/>
        <w:outlineLvl w:val="2"/>
        <w:rPr>
          <w:rFonts w:eastAsia="楷体_GB2312" w:cs="楷体_GB2312"/>
          <w:b/>
          <w:sz w:val="32"/>
          <w:szCs w:val="32"/>
        </w:rPr>
      </w:pPr>
      <w:bookmarkStart w:id="24" w:name="_Toc15377211"/>
      <w:r>
        <w:rPr>
          <w:rFonts w:hint="eastAsia" w:eastAsia="楷体_GB2312" w:cs="楷体_GB2312"/>
          <w:b/>
          <w:sz w:val="32"/>
          <w:szCs w:val="32"/>
        </w:rPr>
        <w:t>（二）一般公共预算财政拨款支出决算结构情况</w:t>
      </w:r>
      <w:bookmarkEnd w:id="24"/>
    </w:p>
    <w:p w14:paraId="3AC251F3">
      <w:pPr>
        <w:spacing w:line="600" w:lineRule="exact"/>
        <w:ind w:firstLine="640"/>
        <w:rPr>
          <w:rFonts w:hint="eastAsia" w:eastAsia="仿宋_GB2312" w:cs="仿宋_GB2312"/>
          <w:sz w:val="32"/>
          <w:szCs w:val="32"/>
          <w:lang w:eastAsia="zh-CN"/>
        </w:rPr>
      </w:pPr>
      <w:r>
        <w:rPr>
          <w:rFonts w:hint="eastAsia" w:ascii="仿宋_GB2312" w:hAnsi="仿宋_GB2312" w:eastAsia="仿宋_GB2312" w:cs="仿宋_GB2312"/>
          <w:sz w:val="32"/>
          <w:szCs w:val="32"/>
        </w:rPr>
        <w:t>2024年度一般公共预算财政拨款支出1534.79万元，主要用于以下方面：一般公共服务支出1,181.43万元，占</w:t>
      </w:r>
      <w:r>
        <w:rPr>
          <w:rFonts w:hint="eastAsia" w:ascii="仿宋_GB2312" w:hAnsi="仿宋_GB2312" w:eastAsia="仿宋_GB2312" w:cs="仿宋_GB2312"/>
          <w:sz w:val="32"/>
          <w:szCs w:val="32"/>
          <w:lang w:val="en-US" w:eastAsia="zh-CN"/>
        </w:rPr>
        <w:t>76.98</w:t>
      </w:r>
      <w:r>
        <w:rPr>
          <w:rFonts w:hint="eastAsia" w:ascii="仿宋_GB2312" w:hAnsi="仿宋_GB2312" w:eastAsia="仿宋_GB2312" w:cs="仿宋_GB2312"/>
          <w:sz w:val="32"/>
          <w:szCs w:val="32"/>
        </w:rPr>
        <w:t>%；社会保障和就业支出57.33万元，占</w:t>
      </w:r>
      <w:r>
        <w:rPr>
          <w:rFonts w:hint="eastAsia" w:ascii="仿宋_GB2312" w:hAnsi="仿宋_GB2312" w:eastAsia="仿宋_GB2312" w:cs="仿宋_GB2312"/>
          <w:sz w:val="32"/>
          <w:szCs w:val="32"/>
          <w:lang w:val="en-US" w:eastAsia="zh-CN"/>
        </w:rPr>
        <w:t>3.74</w:t>
      </w:r>
      <w:r>
        <w:rPr>
          <w:rFonts w:hint="eastAsia" w:ascii="仿宋_GB2312" w:hAnsi="仿宋_GB2312" w:eastAsia="仿宋_GB2312" w:cs="仿宋_GB2312"/>
          <w:sz w:val="32"/>
          <w:szCs w:val="32"/>
        </w:rPr>
        <w:t>%；卫生健康支出30.8万元，占</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城乡社区支出127.43万元，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农林水支出100万元，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6.52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37.8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2.46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25D499D7">
      <w:pPr>
        <w:pStyle w:val="2"/>
        <w:rPr>
          <w:rFonts w:hint="eastAsia"/>
          <w:lang w:val="en-US" w:eastAsia="zh-CN"/>
        </w:rPr>
      </w:pPr>
      <w:r>
        <w:rPr>
          <w:rFonts w:hint="eastAsia"/>
          <w:lang w:val="en-US" w:eastAsia="zh-CN"/>
        </w:rPr>
        <w:t xml:space="preserve">            </w:t>
      </w:r>
      <w:r>
        <w:rPr>
          <w:rFonts w:hint="eastAsia"/>
          <w:lang w:val="en-US" w:eastAsia="zh-CN"/>
        </w:rPr>
        <w:drawing>
          <wp:inline distT="0" distB="0" distL="114300" distR="114300">
            <wp:extent cx="3229610" cy="1823720"/>
            <wp:effectExtent l="0" t="0" r="1270" b="5080"/>
            <wp:docPr id="6"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
                    <pic:cNvPicPr>
                      <a:picLocks noChangeAspect="1"/>
                    </pic:cNvPicPr>
                  </pic:nvPicPr>
                  <pic:blipFill>
                    <a:blip r:embed="rId13"/>
                    <a:stretch>
                      <a:fillRect/>
                    </a:stretch>
                  </pic:blipFill>
                  <pic:spPr>
                    <a:xfrm>
                      <a:off x="0" y="0"/>
                      <a:ext cx="3229610" cy="1823720"/>
                    </a:xfrm>
                    <a:prstGeom prst="rect">
                      <a:avLst/>
                    </a:prstGeom>
                  </pic:spPr>
                </pic:pic>
              </a:graphicData>
            </a:graphic>
          </wp:inline>
        </w:drawing>
      </w:r>
    </w:p>
    <w:p w14:paraId="41775EA0">
      <w:pPr>
        <w:spacing w:line="600" w:lineRule="exact"/>
        <w:ind w:firstLine="960" w:firstLineChars="300"/>
        <w:rPr>
          <w:rFonts w:hint="eastAsia" w:eastAsia="仿宋_GB2312" w:cs="仿宋_GB2312"/>
          <w:sz w:val="32"/>
          <w:szCs w:val="32"/>
          <w:lang w:eastAsia="zh-CN"/>
        </w:rPr>
      </w:pPr>
      <w:r>
        <w:rPr>
          <w:rFonts w:hint="eastAsia" w:eastAsia="仿宋_GB2312" w:cs="仿宋_GB2312"/>
          <w:sz w:val="32"/>
          <w:szCs w:val="32"/>
        </w:rPr>
        <w:t>（图6：一般公共预算财政拨款支出决算结构）</w:t>
      </w:r>
      <w:r>
        <w:rPr>
          <w:rFonts w:hint="eastAsia" w:eastAsia="仿宋_GB2312" w:cs="仿宋_GB2312"/>
          <w:sz w:val="32"/>
          <w:szCs w:val="32"/>
          <w:lang w:val="en-US" w:eastAsia="zh-CN"/>
        </w:rPr>
        <w:t xml:space="preserve"> </w:t>
      </w:r>
    </w:p>
    <w:p w14:paraId="0FB07306">
      <w:pPr>
        <w:spacing w:line="600" w:lineRule="exact"/>
        <w:ind w:firstLine="643" w:firstLineChars="200"/>
        <w:outlineLvl w:val="2"/>
        <w:rPr>
          <w:rFonts w:eastAsia="楷体_GB2312" w:cs="楷体_GB2312"/>
          <w:b/>
          <w:sz w:val="32"/>
          <w:szCs w:val="32"/>
        </w:rPr>
      </w:pPr>
      <w:bookmarkStart w:id="25" w:name="_Toc15377212"/>
      <w:r>
        <w:rPr>
          <w:rFonts w:hint="eastAsia" w:eastAsia="楷体_GB2312" w:cs="楷体_GB2312"/>
          <w:b/>
          <w:sz w:val="32"/>
          <w:szCs w:val="32"/>
        </w:rPr>
        <w:t>（三）一般公共预算财政拨款支出决算具体情况</w:t>
      </w:r>
      <w:bookmarkEnd w:id="25"/>
    </w:p>
    <w:p w14:paraId="0E31DE6E">
      <w:pPr>
        <w:spacing w:line="600" w:lineRule="exact"/>
        <w:ind w:firstLine="640"/>
        <w:rPr>
          <w:rFonts w:eastAsia="仿宋_GB2312" w:cs="仿宋_GB2312"/>
          <w:sz w:val="32"/>
          <w:szCs w:val="32"/>
        </w:rPr>
      </w:pPr>
      <w:bookmarkStart w:id="26" w:name="_Toc15378460"/>
      <w:bookmarkStart w:id="27" w:name="_Toc15377213"/>
      <w:bookmarkStart w:id="28" w:name="_Toc15377444"/>
      <w:r>
        <w:rPr>
          <w:rFonts w:hint="eastAsia" w:eastAsia="仿宋_GB2312" w:cs="仿宋_GB2312"/>
          <w:sz w:val="32"/>
          <w:szCs w:val="32"/>
        </w:rPr>
        <w:t>2024年度一般公共预算财政拨款支出决算数为</w:t>
      </w:r>
      <w:r>
        <w:rPr>
          <w:rFonts w:hint="eastAsia" w:ascii="仿宋_GB2312" w:hAnsi="仿宋_GB2312" w:eastAsia="仿宋_GB2312" w:cs="仿宋_GB2312"/>
          <w:sz w:val="32"/>
          <w:szCs w:val="32"/>
        </w:rPr>
        <w:t>1534.79，</w:t>
      </w:r>
      <w:r>
        <w:rPr>
          <w:rFonts w:hint="eastAsia" w:eastAsia="仿宋_GB2312" w:cs="仿宋_GB2312"/>
          <w:sz w:val="32"/>
          <w:szCs w:val="32"/>
        </w:rPr>
        <w:t>完成预算</w:t>
      </w:r>
      <w:r>
        <w:rPr>
          <w:rFonts w:hint="eastAsia" w:eastAsia="仿宋_GB2312" w:cs="仿宋_GB2312"/>
          <w:sz w:val="32"/>
          <w:szCs w:val="32"/>
          <w:lang w:val="en-US" w:eastAsia="zh-CN"/>
        </w:rPr>
        <w:t>100</w:t>
      </w:r>
      <w:r>
        <w:rPr>
          <w:rFonts w:hint="eastAsia" w:eastAsia="仿宋_GB2312" w:cs="仿宋_GB2312"/>
          <w:sz w:val="32"/>
          <w:szCs w:val="32"/>
        </w:rPr>
        <w:t>%。其中：</w:t>
      </w:r>
      <w:bookmarkEnd w:id="26"/>
      <w:bookmarkEnd w:id="27"/>
      <w:bookmarkEnd w:id="28"/>
    </w:p>
    <w:p w14:paraId="19CC0EE3">
      <w:pPr>
        <w:numPr>
          <w:ilvl w:val="0"/>
          <w:numId w:val="2"/>
        </w:numPr>
        <w:spacing w:line="600" w:lineRule="exact"/>
        <w:ind w:left="197" w:leftChars="0" w:firstLine="643" w:firstLineChars="0"/>
        <w:rPr>
          <w:rStyle w:val="17"/>
          <w:rFonts w:ascii="仿宋" w:hAnsi="仿宋" w:eastAsia="仿宋"/>
          <w:b w:val="0"/>
          <w:bCs/>
          <w:sz w:val="32"/>
          <w:szCs w:val="32"/>
        </w:rPr>
      </w:pPr>
      <w:r>
        <w:rPr>
          <w:rStyle w:val="17"/>
          <w:rFonts w:hint="eastAsia" w:ascii="仿宋" w:hAnsi="仿宋" w:eastAsia="仿宋"/>
          <w:bCs/>
          <w:color w:val="000000"/>
          <w:sz w:val="32"/>
          <w:szCs w:val="32"/>
        </w:rPr>
        <w:t>一般公共服务201（类）03（款）01（项）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sz w:val="32"/>
          <w:szCs w:val="32"/>
        </w:rPr>
        <w:t>540.46</w:t>
      </w:r>
      <w:r>
        <w:rPr>
          <w:rStyle w:val="17"/>
          <w:rFonts w:hint="eastAsia" w:ascii="仿宋" w:hAnsi="仿宋" w:eastAsia="仿宋"/>
          <w:b w:val="0"/>
          <w:bCs/>
          <w:sz w:val="32"/>
          <w:szCs w:val="32"/>
        </w:rPr>
        <w:t>万元，完成预算 100</w:t>
      </w:r>
      <w:r>
        <w:rPr>
          <w:rFonts w:ascii="仿宋" w:hAnsi="仿宋" w:eastAsia="仿宋"/>
          <w:sz w:val="32"/>
          <w:szCs w:val="32"/>
        </w:rPr>
        <w:t>%</w:t>
      </w:r>
      <w:r>
        <w:rPr>
          <w:rStyle w:val="17"/>
          <w:rFonts w:hint="eastAsia" w:ascii="仿宋" w:hAnsi="仿宋" w:eastAsia="仿宋"/>
          <w:b w:val="0"/>
          <w:bCs/>
          <w:sz w:val="32"/>
          <w:szCs w:val="32"/>
        </w:rPr>
        <w:t>。</w:t>
      </w:r>
    </w:p>
    <w:p w14:paraId="382891FA">
      <w:pPr>
        <w:numPr>
          <w:ilvl w:val="0"/>
          <w:numId w:val="2"/>
        </w:numPr>
        <w:spacing w:line="600" w:lineRule="exact"/>
        <w:ind w:left="197" w:leftChars="0" w:firstLine="643" w:firstLineChars="0"/>
        <w:rPr>
          <w:rStyle w:val="17"/>
          <w:rFonts w:ascii="仿宋" w:hAnsi="仿宋" w:eastAsia="仿宋"/>
          <w:b w:val="0"/>
          <w:bCs/>
          <w:sz w:val="32"/>
          <w:szCs w:val="32"/>
        </w:rPr>
      </w:pPr>
      <w:r>
        <w:rPr>
          <w:rStyle w:val="17"/>
          <w:rFonts w:hint="eastAsia" w:ascii="仿宋" w:hAnsi="仿宋" w:eastAsia="仿宋"/>
          <w:bCs/>
          <w:color w:val="000000"/>
          <w:sz w:val="32"/>
          <w:szCs w:val="32"/>
        </w:rPr>
        <w:t>一般公共服务201（类）03（款）02（项）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sz w:val="32"/>
          <w:szCs w:val="32"/>
        </w:rPr>
        <w:t>509.55</w:t>
      </w:r>
      <w:r>
        <w:rPr>
          <w:rStyle w:val="17"/>
          <w:rFonts w:hint="eastAsia" w:ascii="仿宋" w:hAnsi="仿宋" w:eastAsia="仿宋"/>
          <w:b w:val="0"/>
          <w:bCs/>
          <w:sz w:val="32"/>
          <w:szCs w:val="32"/>
        </w:rPr>
        <w:t>万元，完成预算100</w:t>
      </w:r>
      <w:r>
        <w:rPr>
          <w:rFonts w:ascii="仿宋" w:hAnsi="仿宋" w:eastAsia="仿宋"/>
          <w:sz w:val="32"/>
          <w:szCs w:val="32"/>
        </w:rPr>
        <w:t>%</w:t>
      </w:r>
      <w:r>
        <w:rPr>
          <w:rStyle w:val="17"/>
          <w:rFonts w:hint="eastAsia" w:ascii="仿宋" w:hAnsi="仿宋" w:eastAsia="仿宋"/>
          <w:b w:val="0"/>
          <w:bCs/>
          <w:sz w:val="32"/>
          <w:szCs w:val="32"/>
        </w:rPr>
        <w:t>。</w:t>
      </w:r>
    </w:p>
    <w:p w14:paraId="0751B0FA">
      <w:pPr>
        <w:numPr>
          <w:ilvl w:val="0"/>
          <w:numId w:val="2"/>
        </w:numPr>
        <w:spacing w:line="600" w:lineRule="exact"/>
        <w:ind w:left="197" w:leftChars="0" w:firstLine="643" w:firstLineChars="0"/>
        <w:rPr>
          <w:rStyle w:val="17"/>
          <w:rFonts w:ascii="仿宋" w:hAnsi="仿宋" w:eastAsia="仿宋"/>
          <w:b w:val="0"/>
          <w:bCs/>
          <w:sz w:val="32"/>
          <w:szCs w:val="32"/>
        </w:rPr>
      </w:pPr>
      <w:r>
        <w:rPr>
          <w:rStyle w:val="17"/>
          <w:rFonts w:hint="eastAsia" w:ascii="仿宋" w:hAnsi="仿宋" w:eastAsia="仿宋"/>
          <w:bCs/>
          <w:color w:val="000000"/>
          <w:sz w:val="32"/>
          <w:szCs w:val="32"/>
        </w:rPr>
        <w:t>一般公共服务201（类）03（款）50（项）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sz w:val="32"/>
          <w:szCs w:val="32"/>
        </w:rPr>
        <w:t>131.42</w:t>
      </w:r>
      <w:r>
        <w:rPr>
          <w:rStyle w:val="17"/>
          <w:rFonts w:hint="eastAsia" w:ascii="仿宋" w:hAnsi="仿宋" w:eastAsia="仿宋"/>
          <w:b w:val="0"/>
          <w:bCs/>
          <w:sz w:val="32"/>
          <w:szCs w:val="32"/>
        </w:rPr>
        <w:t>万元，完成预算100</w:t>
      </w:r>
      <w:r>
        <w:rPr>
          <w:rFonts w:ascii="仿宋" w:hAnsi="仿宋" w:eastAsia="仿宋"/>
          <w:sz w:val="32"/>
          <w:szCs w:val="32"/>
        </w:rPr>
        <w:t>%</w:t>
      </w:r>
      <w:r>
        <w:rPr>
          <w:rStyle w:val="17"/>
          <w:rFonts w:hint="eastAsia" w:ascii="仿宋" w:hAnsi="仿宋" w:eastAsia="仿宋"/>
          <w:b w:val="0"/>
          <w:bCs/>
          <w:sz w:val="32"/>
          <w:szCs w:val="32"/>
        </w:rPr>
        <w:t>。</w:t>
      </w:r>
    </w:p>
    <w:p w14:paraId="5394A59A">
      <w:pPr>
        <w:numPr>
          <w:ilvl w:val="0"/>
          <w:numId w:val="2"/>
        </w:numPr>
        <w:spacing w:line="600" w:lineRule="exact"/>
        <w:ind w:left="197" w:leftChars="0" w:firstLine="643" w:firstLineChars="0"/>
        <w:rPr>
          <w:rStyle w:val="17"/>
          <w:rFonts w:ascii="仿宋" w:hAnsi="仿宋" w:eastAsia="仿宋"/>
          <w:b w:val="0"/>
          <w:bCs/>
          <w:sz w:val="32"/>
          <w:szCs w:val="32"/>
        </w:rPr>
      </w:pPr>
      <w:r>
        <w:rPr>
          <w:rStyle w:val="17"/>
          <w:rFonts w:hint="eastAsia" w:ascii="仿宋" w:hAnsi="仿宋" w:eastAsia="仿宋"/>
          <w:bCs/>
          <w:color w:val="000000"/>
          <w:sz w:val="32"/>
          <w:szCs w:val="32"/>
        </w:rPr>
        <w:t>社会保障和就业208（类）05（款）01（项）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sz w:val="32"/>
          <w:szCs w:val="32"/>
        </w:rPr>
        <w:t>8.73</w:t>
      </w:r>
      <w:r>
        <w:rPr>
          <w:rStyle w:val="17"/>
          <w:rFonts w:hint="eastAsia" w:ascii="仿宋" w:hAnsi="仿宋" w:eastAsia="仿宋"/>
          <w:b w:val="0"/>
          <w:bCs/>
          <w:sz w:val="32"/>
          <w:szCs w:val="32"/>
        </w:rPr>
        <w:t>万元，完成预算100</w:t>
      </w:r>
      <w:r>
        <w:rPr>
          <w:rFonts w:ascii="仿宋" w:hAnsi="仿宋" w:eastAsia="仿宋"/>
          <w:sz w:val="32"/>
          <w:szCs w:val="32"/>
        </w:rPr>
        <w:t>%</w:t>
      </w:r>
      <w:r>
        <w:rPr>
          <w:rStyle w:val="17"/>
          <w:rFonts w:hint="eastAsia" w:ascii="仿宋" w:hAnsi="仿宋" w:eastAsia="仿宋"/>
          <w:b w:val="0"/>
          <w:bCs/>
          <w:sz w:val="32"/>
          <w:szCs w:val="32"/>
        </w:rPr>
        <w:t>。</w:t>
      </w:r>
    </w:p>
    <w:p w14:paraId="3FA8A69F">
      <w:pPr>
        <w:numPr>
          <w:ilvl w:val="0"/>
          <w:numId w:val="2"/>
        </w:numPr>
        <w:spacing w:line="600" w:lineRule="exact"/>
        <w:ind w:left="197" w:leftChars="0" w:firstLine="643" w:firstLineChars="0"/>
        <w:rPr>
          <w:rStyle w:val="17"/>
          <w:rFonts w:ascii="仿宋" w:hAnsi="仿宋" w:eastAsia="仿宋"/>
          <w:b w:val="0"/>
          <w:bCs/>
          <w:sz w:val="32"/>
          <w:szCs w:val="32"/>
        </w:rPr>
      </w:pPr>
      <w:r>
        <w:rPr>
          <w:rStyle w:val="17"/>
          <w:rFonts w:hint="eastAsia" w:ascii="仿宋" w:hAnsi="仿宋" w:eastAsia="仿宋"/>
          <w:bCs/>
          <w:color w:val="000000"/>
          <w:sz w:val="32"/>
          <w:szCs w:val="32"/>
        </w:rPr>
        <w:t>社会保障和就业208（类）05（款）05（项）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sz w:val="32"/>
          <w:szCs w:val="32"/>
        </w:rPr>
        <w:t>47.97</w:t>
      </w:r>
      <w:r>
        <w:rPr>
          <w:rStyle w:val="17"/>
          <w:rFonts w:hint="eastAsia" w:ascii="仿宋" w:hAnsi="仿宋" w:eastAsia="仿宋"/>
          <w:b w:val="0"/>
          <w:bCs/>
          <w:sz w:val="32"/>
          <w:szCs w:val="32"/>
        </w:rPr>
        <w:t>万元，完成预算 100</w:t>
      </w:r>
      <w:r>
        <w:rPr>
          <w:rFonts w:ascii="仿宋" w:hAnsi="仿宋" w:eastAsia="仿宋"/>
          <w:sz w:val="32"/>
          <w:szCs w:val="32"/>
        </w:rPr>
        <w:t>%</w:t>
      </w:r>
      <w:r>
        <w:rPr>
          <w:rStyle w:val="17"/>
          <w:rFonts w:hint="eastAsia" w:ascii="仿宋" w:hAnsi="仿宋" w:eastAsia="仿宋"/>
          <w:b w:val="0"/>
          <w:bCs/>
          <w:sz w:val="32"/>
          <w:szCs w:val="32"/>
        </w:rPr>
        <w:t>。</w:t>
      </w:r>
    </w:p>
    <w:p w14:paraId="7786D7AA">
      <w:pPr>
        <w:numPr>
          <w:ilvl w:val="0"/>
          <w:numId w:val="2"/>
        </w:numPr>
        <w:spacing w:line="600" w:lineRule="exact"/>
        <w:ind w:left="197" w:leftChars="0" w:firstLine="643" w:firstLineChars="0"/>
        <w:rPr>
          <w:rStyle w:val="17"/>
          <w:rFonts w:ascii="仿宋" w:hAnsi="仿宋" w:eastAsia="仿宋"/>
          <w:b w:val="0"/>
          <w:bCs/>
          <w:sz w:val="32"/>
          <w:szCs w:val="32"/>
          <w:highlight w:val="none"/>
        </w:rPr>
      </w:pPr>
      <w:r>
        <w:rPr>
          <w:rStyle w:val="17"/>
          <w:rFonts w:hint="eastAsia" w:ascii="仿宋" w:hAnsi="仿宋" w:eastAsia="仿宋"/>
          <w:bCs/>
          <w:color w:val="000000"/>
          <w:sz w:val="32"/>
          <w:szCs w:val="32"/>
          <w:highlight w:val="none"/>
        </w:rPr>
        <w:t>社会保障和就业20</w:t>
      </w:r>
      <w:r>
        <w:rPr>
          <w:rStyle w:val="17"/>
          <w:rFonts w:hint="eastAsia" w:ascii="仿宋" w:hAnsi="仿宋" w:eastAsia="仿宋"/>
          <w:bCs/>
          <w:color w:val="000000"/>
          <w:sz w:val="32"/>
          <w:szCs w:val="32"/>
          <w:highlight w:val="none"/>
          <w:lang w:val="en-US" w:eastAsia="zh-CN"/>
        </w:rPr>
        <w:t>8</w:t>
      </w:r>
      <w:r>
        <w:rPr>
          <w:rStyle w:val="17"/>
          <w:rFonts w:hint="eastAsia" w:ascii="仿宋" w:hAnsi="仿宋" w:eastAsia="仿宋"/>
          <w:bCs/>
          <w:color w:val="000000"/>
          <w:sz w:val="32"/>
          <w:szCs w:val="32"/>
          <w:highlight w:val="none"/>
        </w:rPr>
        <w:t>（类）</w:t>
      </w:r>
      <w:r>
        <w:rPr>
          <w:rStyle w:val="17"/>
          <w:rFonts w:hint="eastAsia" w:ascii="仿宋" w:hAnsi="仿宋" w:eastAsia="仿宋"/>
          <w:bCs/>
          <w:color w:val="000000"/>
          <w:sz w:val="32"/>
          <w:szCs w:val="32"/>
          <w:highlight w:val="none"/>
          <w:lang w:val="en-US" w:eastAsia="zh-CN"/>
        </w:rPr>
        <w:t>10</w:t>
      </w:r>
      <w:r>
        <w:rPr>
          <w:rStyle w:val="17"/>
          <w:rFonts w:hint="eastAsia" w:ascii="仿宋" w:hAnsi="仿宋" w:eastAsia="仿宋"/>
          <w:bCs/>
          <w:color w:val="000000"/>
          <w:sz w:val="32"/>
          <w:szCs w:val="32"/>
          <w:highlight w:val="none"/>
        </w:rPr>
        <w:t>（款）</w:t>
      </w:r>
      <w:r>
        <w:rPr>
          <w:rStyle w:val="17"/>
          <w:rFonts w:hint="eastAsia" w:ascii="仿宋" w:hAnsi="仿宋" w:eastAsia="仿宋"/>
          <w:bCs/>
          <w:color w:val="000000"/>
          <w:sz w:val="32"/>
          <w:szCs w:val="32"/>
          <w:highlight w:val="none"/>
          <w:lang w:val="en-US" w:eastAsia="zh-CN"/>
        </w:rPr>
        <w:t>01</w:t>
      </w:r>
      <w:r>
        <w:rPr>
          <w:rStyle w:val="17"/>
          <w:rFonts w:hint="eastAsia" w:ascii="仿宋" w:hAnsi="仿宋" w:eastAsia="仿宋"/>
          <w:bCs/>
          <w:color w:val="000000"/>
          <w:sz w:val="32"/>
          <w:szCs w:val="32"/>
          <w:highlight w:val="none"/>
        </w:rPr>
        <w:t>（项）</w:t>
      </w:r>
      <w:r>
        <w:rPr>
          <w:rStyle w:val="17"/>
          <w:rFonts w:ascii="仿宋" w:hAnsi="仿宋" w:eastAsia="仿宋"/>
          <w:bCs/>
          <w:sz w:val="32"/>
          <w:szCs w:val="32"/>
          <w:highlight w:val="none"/>
        </w:rPr>
        <w:t>:</w:t>
      </w:r>
      <w:r>
        <w:rPr>
          <w:rStyle w:val="17"/>
          <w:rFonts w:ascii="仿宋" w:hAnsi="仿宋" w:eastAsia="仿宋"/>
          <w:b w:val="0"/>
          <w:bCs/>
          <w:sz w:val="32"/>
          <w:szCs w:val="32"/>
          <w:highlight w:val="none"/>
        </w:rPr>
        <w:t xml:space="preserve"> </w:t>
      </w:r>
      <w:r>
        <w:rPr>
          <w:rStyle w:val="17"/>
          <w:rFonts w:hint="eastAsia" w:ascii="仿宋" w:hAnsi="仿宋" w:eastAsia="仿宋"/>
          <w:b w:val="0"/>
          <w:bCs/>
          <w:sz w:val="32"/>
          <w:szCs w:val="32"/>
          <w:highlight w:val="none"/>
        </w:rPr>
        <w:t>支出决算为</w:t>
      </w:r>
      <w:r>
        <w:rPr>
          <w:rFonts w:hint="eastAsia" w:ascii="仿宋" w:hAnsi="仿宋" w:eastAsia="仿宋"/>
          <w:sz w:val="32"/>
          <w:szCs w:val="32"/>
          <w:highlight w:val="none"/>
        </w:rPr>
        <w:t>0.63</w:t>
      </w:r>
      <w:r>
        <w:rPr>
          <w:rStyle w:val="17"/>
          <w:rFonts w:hint="eastAsia" w:ascii="仿宋" w:hAnsi="仿宋" w:eastAsia="仿宋"/>
          <w:b w:val="0"/>
          <w:bCs/>
          <w:sz w:val="32"/>
          <w:szCs w:val="32"/>
          <w:highlight w:val="none"/>
        </w:rPr>
        <w:t>万元，完成预算100</w:t>
      </w:r>
      <w:r>
        <w:rPr>
          <w:rFonts w:ascii="仿宋" w:hAnsi="仿宋" w:eastAsia="仿宋"/>
          <w:sz w:val="32"/>
          <w:szCs w:val="32"/>
          <w:highlight w:val="none"/>
        </w:rPr>
        <w:t>%</w:t>
      </w:r>
      <w:r>
        <w:rPr>
          <w:rStyle w:val="17"/>
          <w:rFonts w:hint="eastAsia" w:ascii="仿宋" w:hAnsi="仿宋" w:eastAsia="仿宋"/>
          <w:b w:val="0"/>
          <w:bCs/>
          <w:sz w:val="32"/>
          <w:szCs w:val="32"/>
          <w:highlight w:val="none"/>
        </w:rPr>
        <w:t>。</w:t>
      </w:r>
    </w:p>
    <w:p w14:paraId="0AB50F43">
      <w:pPr>
        <w:numPr>
          <w:ilvl w:val="0"/>
          <w:numId w:val="2"/>
        </w:numPr>
        <w:spacing w:line="600" w:lineRule="exact"/>
        <w:ind w:left="197" w:leftChars="0" w:firstLine="643" w:firstLineChars="0"/>
        <w:rPr>
          <w:rStyle w:val="17"/>
          <w:rFonts w:ascii="仿宋" w:hAnsi="仿宋" w:eastAsia="仿宋"/>
          <w:b w:val="0"/>
          <w:bCs/>
          <w:sz w:val="32"/>
          <w:szCs w:val="32"/>
          <w:highlight w:val="none"/>
        </w:rPr>
      </w:pPr>
      <w:r>
        <w:rPr>
          <w:rStyle w:val="17"/>
          <w:rFonts w:hint="eastAsia" w:ascii="仿宋" w:hAnsi="仿宋" w:eastAsia="仿宋"/>
          <w:bCs/>
          <w:color w:val="000000"/>
          <w:sz w:val="32"/>
          <w:szCs w:val="32"/>
          <w:highlight w:val="none"/>
        </w:rPr>
        <w:t>卫生健康</w:t>
      </w:r>
      <w:r>
        <w:rPr>
          <w:rStyle w:val="17"/>
          <w:rFonts w:hint="eastAsia" w:ascii="仿宋" w:hAnsi="仿宋" w:eastAsia="仿宋"/>
          <w:bCs/>
          <w:color w:val="000000"/>
          <w:sz w:val="32"/>
          <w:szCs w:val="32"/>
          <w:highlight w:val="none"/>
          <w:lang w:val="en-US" w:eastAsia="zh-CN"/>
        </w:rPr>
        <w:t>210</w:t>
      </w:r>
      <w:r>
        <w:rPr>
          <w:rStyle w:val="17"/>
          <w:rFonts w:hint="eastAsia" w:ascii="仿宋" w:hAnsi="仿宋" w:eastAsia="仿宋"/>
          <w:bCs/>
          <w:color w:val="000000"/>
          <w:sz w:val="32"/>
          <w:szCs w:val="32"/>
          <w:highlight w:val="none"/>
        </w:rPr>
        <w:t>（类）</w:t>
      </w:r>
      <w:r>
        <w:rPr>
          <w:rStyle w:val="17"/>
          <w:rFonts w:hint="eastAsia" w:ascii="仿宋" w:hAnsi="仿宋" w:eastAsia="仿宋"/>
          <w:bCs/>
          <w:color w:val="000000"/>
          <w:sz w:val="32"/>
          <w:szCs w:val="32"/>
          <w:highlight w:val="none"/>
          <w:lang w:val="en-US" w:eastAsia="zh-CN"/>
        </w:rPr>
        <w:t>11</w:t>
      </w:r>
      <w:r>
        <w:rPr>
          <w:rStyle w:val="17"/>
          <w:rFonts w:hint="eastAsia" w:ascii="仿宋" w:hAnsi="仿宋" w:eastAsia="仿宋"/>
          <w:bCs/>
          <w:color w:val="000000"/>
          <w:sz w:val="32"/>
          <w:szCs w:val="32"/>
          <w:highlight w:val="none"/>
        </w:rPr>
        <w:t>（款）</w:t>
      </w:r>
      <w:r>
        <w:rPr>
          <w:rStyle w:val="17"/>
          <w:rFonts w:hint="eastAsia" w:ascii="仿宋" w:hAnsi="仿宋" w:eastAsia="仿宋"/>
          <w:bCs/>
          <w:color w:val="000000"/>
          <w:sz w:val="32"/>
          <w:szCs w:val="32"/>
          <w:highlight w:val="none"/>
          <w:lang w:val="en-US" w:eastAsia="zh-CN"/>
        </w:rPr>
        <w:t>01</w:t>
      </w:r>
      <w:r>
        <w:rPr>
          <w:rStyle w:val="17"/>
          <w:rFonts w:hint="eastAsia" w:ascii="仿宋" w:hAnsi="仿宋" w:eastAsia="仿宋"/>
          <w:bCs/>
          <w:color w:val="000000"/>
          <w:sz w:val="32"/>
          <w:szCs w:val="32"/>
          <w:highlight w:val="none"/>
        </w:rPr>
        <w:t>（项）</w:t>
      </w:r>
      <w:r>
        <w:rPr>
          <w:rStyle w:val="17"/>
          <w:rFonts w:ascii="仿宋" w:hAnsi="仿宋" w:eastAsia="仿宋"/>
          <w:bCs/>
          <w:sz w:val="32"/>
          <w:szCs w:val="32"/>
          <w:highlight w:val="none"/>
        </w:rPr>
        <w:t>:</w:t>
      </w:r>
      <w:r>
        <w:rPr>
          <w:rStyle w:val="17"/>
          <w:rFonts w:ascii="仿宋" w:hAnsi="仿宋" w:eastAsia="仿宋"/>
          <w:b w:val="0"/>
          <w:bCs/>
          <w:sz w:val="32"/>
          <w:szCs w:val="32"/>
          <w:highlight w:val="none"/>
        </w:rPr>
        <w:t xml:space="preserve"> </w:t>
      </w:r>
      <w:r>
        <w:rPr>
          <w:rStyle w:val="17"/>
          <w:rFonts w:hint="eastAsia" w:ascii="仿宋" w:hAnsi="仿宋" w:eastAsia="仿宋"/>
          <w:b w:val="0"/>
          <w:bCs/>
          <w:sz w:val="32"/>
          <w:szCs w:val="32"/>
          <w:highlight w:val="none"/>
        </w:rPr>
        <w:t>支出决算为</w:t>
      </w:r>
      <w:r>
        <w:rPr>
          <w:rFonts w:hint="eastAsia" w:ascii="仿宋" w:hAnsi="仿宋" w:eastAsia="仿宋"/>
          <w:sz w:val="32"/>
          <w:szCs w:val="32"/>
          <w:highlight w:val="none"/>
        </w:rPr>
        <w:t>16.47</w:t>
      </w:r>
      <w:r>
        <w:rPr>
          <w:rStyle w:val="17"/>
          <w:rFonts w:hint="eastAsia" w:ascii="仿宋" w:hAnsi="仿宋" w:eastAsia="仿宋"/>
          <w:b w:val="0"/>
          <w:bCs/>
          <w:sz w:val="32"/>
          <w:szCs w:val="32"/>
          <w:highlight w:val="none"/>
        </w:rPr>
        <w:t>万元，完成预算100</w:t>
      </w:r>
      <w:r>
        <w:rPr>
          <w:rFonts w:ascii="仿宋" w:hAnsi="仿宋" w:eastAsia="仿宋"/>
          <w:sz w:val="32"/>
          <w:szCs w:val="32"/>
          <w:highlight w:val="none"/>
        </w:rPr>
        <w:t>%</w:t>
      </w:r>
      <w:r>
        <w:rPr>
          <w:rStyle w:val="17"/>
          <w:rFonts w:hint="eastAsia" w:ascii="仿宋" w:hAnsi="仿宋" w:eastAsia="仿宋"/>
          <w:b w:val="0"/>
          <w:bCs/>
          <w:sz w:val="32"/>
          <w:szCs w:val="32"/>
          <w:highlight w:val="none"/>
        </w:rPr>
        <w:t>。</w:t>
      </w:r>
    </w:p>
    <w:p w14:paraId="275B137D">
      <w:pPr>
        <w:numPr>
          <w:ilvl w:val="0"/>
          <w:numId w:val="0"/>
        </w:numPr>
        <w:spacing w:line="600" w:lineRule="exact"/>
        <w:ind w:firstLine="640" w:firstLineChars="200"/>
        <w:rPr>
          <w:rStyle w:val="17"/>
          <w:rFonts w:ascii="仿宋" w:hAnsi="仿宋" w:eastAsia="仿宋"/>
          <w:b w:val="0"/>
          <w:bCs/>
          <w:sz w:val="32"/>
          <w:szCs w:val="32"/>
          <w:highlight w:val="none"/>
        </w:rPr>
      </w:pPr>
      <w:r>
        <w:rPr>
          <w:rStyle w:val="17"/>
          <w:rFonts w:hint="eastAsia" w:ascii="仿宋" w:hAnsi="仿宋" w:eastAsia="仿宋"/>
          <w:b w:val="0"/>
          <w:bCs w:val="0"/>
          <w:color w:val="000000"/>
          <w:sz w:val="32"/>
          <w:szCs w:val="32"/>
          <w:highlight w:val="none"/>
          <w:lang w:val="en-US" w:eastAsia="zh-CN"/>
        </w:rPr>
        <w:t>8.</w:t>
      </w:r>
      <w:r>
        <w:rPr>
          <w:rStyle w:val="17"/>
          <w:rFonts w:hint="eastAsia" w:ascii="仿宋" w:hAnsi="仿宋" w:eastAsia="仿宋"/>
          <w:bCs/>
          <w:color w:val="000000"/>
          <w:sz w:val="32"/>
          <w:szCs w:val="32"/>
          <w:highlight w:val="none"/>
        </w:rPr>
        <w:t>卫生健康</w:t>
      </w:r>
      <w:r>
        <w:rPr>
          <w:rStyle w:val="17"/>
          <w:rFonts w:hint="eastAsia" w:ascii="仿宋" w:hAnsi="仿宋" w:eastAsia="仿宋"/>
          <w:bCs/>
          <w:color w:val="000000"/>
          <w:sz w:val="32"/>
          <w:szCs w:val="32"/>
          <w:highlight w:val="none"/>
          <w:lang w:val="en-US" w:eastAsia="zh-CN"/>
        </w:rPr>
        <w:t>210</w:t>
      </w:r>
      <w:r>
        <w:rPr>
          <w:rStyle w:val="17"/>
          <w:rFonts w:hint="eastAsia" w:ascii="仿宋" w:hAnsi="仿宋" w:eastAsia="仿宋"/>
          <w:bCs/>
          <w:color w:val="000000"/>
          <w:sz w:val="32"/>
          <w:szCs w:val="32"/>
          <w:highlight w:val="none"/>
        </w:rPr>
        <w:t>（类）</w:t>
      </w:r>
      <w:r>
        <w:rPr>
          <w:rStyle w:val="17"/>
          <w:rFonts w:hint="eastAsia" w:ascii="仿宋" w:hAnsi="仿宋" w:eastAsia="仿宋"/>
          <w:bCs/>
          <w:color w:val="000000"/>
          <w:sz w:val="32"/>
          <w:szCs w:val="32"/>
          <w:highlight w:val="none"/>
          <w:lang w:val="en-US" w:eastAsia="zh-CN"/>
        </w:rPr>
        <w:t>11</w:t>
      </w:r>
      <w:r>
        <w:rPr>
          <w:rStyle w:val="17"/>
          <w:rFonts w:hint="eastAsia" w:ascii="仿宋" w:hAnsi="仿宋" w:eastAsia="仿宋"/>
          <w:bCs/>
          <w:color w:val="000000"/>
          <w:sz w:val="32"/>
          <w:szCs w:val="32"/>
          <w:highlight w:val="none"/>
        </w:rPr>
        <w:t>（款）</w:t>
      </w:r>
      <w:r>
        <w:rPr>
          <w:rStyle w:val="17"/>
          <w:rFonts w:hint="eastAsia" w:ascii="仿宋" w:hAnsi="仿宋" w:eastAsia="仿宋"/>
          <w:bCs/>
          <w:color w:val="000000"/>
          <w:sz w:val="32"/>
          <w:szCs w:val="32"/>
          <w:highlight w:val="none"/>
          <w:lang w:val="en-US" w:eastAsia="zh-CN"/>
        </w:rPr>
        <w:t>02</w:t>
      </w:r>
      <w:r>
        <w:rPr>
          <w:rStyle w:val="17"/>
          <w:rFonts w:hint="eastAsia" w:ascii="仿宋" w:hAnsi="仿宋" w:eastAsia="仿宋"/>
          <w:bCs/>
          <w:color w:val="000000"/>
          <w:sz w:val="32"/>
          <w:szCs w:val="32"/>
          <w:highlight w:val="none"/>
        </w:rPr>
        <w:t>（项）</w:t>
      </w:r>
      <w:r>
        <w:rPr>
          <w:rStyle w:val="17"/>
          <w:rFonts w:ascii="仿宋" w:hAnsi="仿宋" w:eastAsia="仿宋"/>
          <w:bCs/>
          <w:sz w:val="32"/>
          <w:szCs w:val="32"/>
          <w:highlight w:val="none"/>
        </w:rPr>
        <w:t>:</w:t>
      </w:r>
      <w:r>
        <w:rPr>
          <w:rStyle w:val="17"/>
          <w:rFonts w:ascii="仿宋" w:hAnsi="仿宋" w:eastAsia="仿宋"/>
          <w:b w:val="0"/>
          <w:bCs/>
          <w:sz w:val="32"/>
          <w:szCs w:val="32"/>
          <w:highlight w:val="none"/>
        </w:rPr>
        <w:t xml:space="preserve"> </w:t>
      </w:r>
      <w:r>
        <w:rPr>
          <w:rStyle w:val="17"/>
          <w:rFonts w:hint="eastAsia" w:ascii="仿宋" w:hAnsi="仿宋" w:eastAsia="仿宋"/>
          <w:b w:val="0"/>
          <w:bCs/>
          <w:sz w:val="32"/>
          <w:szCs w:val="32"/>
          <w:highlight w:val="none"/>
        </w:rPr>
        <w:t>支出决算为</w:t>
      </w:r>
      <w:r>
        <w:rPr>
          <w:rFonts w:hint="eastAsia" w:ascii="仿宋" w:hAnsi="仿宋" w:eastAsia="仿宋"/>
          <w:sz w:val="32"/>
          <w:szCs w:val="32"/>
          <w:highlight w:val="none"/>
        </w:rPr>
        <w:t>8.48</w:t>
      </w:r>
      <w:r>
        <w:rPr>
          <w:rStyle w:val="17"/>
          <w:rFonts w:hint="eastAsia" w:ascii="仿宋" w:hAnsi="仿宋" w:eastAsia="仿宋"/>
          <w:b w:val="0"/>
          <w:bCs/>
          <w:sz w:val="32"/>
          <w:szCs w:val="32"/>
          <w:highlight w:val="none"/>
        </w:rPr>
        <w:t>万元，完成预算100</w:t>
      </w:r>
      <w:r>
        <w:rPr>
          <w:rFonts w:ascii="仿宋" w:hAnsi="仿宋" w:eastAsia="仿宋"/>
          <w:sz w:val="32"/>
          <w:szCs w:val="32"/>
          <w:highlight w:val="none"/>
        </w:rPr>
        <w:t>%</w:t>
      </w:r>
      <w:r>
        <w:rPr>
          <w:rStyle w:val="17"/>
          <w:rFonts w:hint="eastAsia" w:ascii="仿宋" w:hAnsi="仿宋" w:eastAsia="仿宋"/>
          <w:b w:val="0"/>
          <w:bCs/>
          <w:sz w:val="32"/>
          <w:szCs w:val="32"/>
          <w:highlight w:val="none"/>
        </w:rPr>
        <w:t>。</w:t>
      </w:r>
    </w:p>
    <w:p w14:paraId="3FEC86AB">
      <w:pPr>
        <w:numPr>
          <w:ilvl w:val="0"/>
          <w:numId w:val="0"/>
        </w:numPr>
        <w:spacing w:line="600" w:lineRule="exact"/>
        <w:ind w:firstLine="640" w:firstLineChars="200"/>
        <w:rPr>
          <w:rStyle w:val="17"/>
          <w:rFonts w:ascii="仿宋" w:hAnsi="仿宋" w:eastAsia="仿宋"/>
          <w:b w:val="0"/>
          <w:bCs/>
          <w:sz w:val="32"/>
          <w:szCs w:val="32"/>
          <w:highlight w:val="none"/>
        </w:rPr>
      </w:pPr>
      <w:r>
        <w:rPr>
          <w:rStyle w:val="17"/>
          <w:rFonts w:hint="eastAsia" w:ascii="仿宋" w:hAnsi="仿宋" w:eastAsia="仿宋"/>
          <w:b w:val="0"/>
          <w:bCs w:val="0"/>
          <w:color w:val="000000"/>
          <w:sz w:val="32"/>
          <w:szCs w:val="32"/>
          <w:highlight w:val="none"/>
          <w:lang w:val="en-US" w:eastAsia="zh-CN"/>
        </w:rPr>
        <w:t>9.</w:t>
      </w:r>
      <w:r>
        <w:rPr>
          <w:rStyle w:val="17"/>
          <w:rFonts w:hint="eastAsia" w:ascii="仿宋" w:hAnsi="仿宋" w:eastAsia="仿宋"/>
          <w:bCs/>
          <w:color w:val="000000"/>
          <w:sz w:val="32"/>
          <w:szCs w:val="32"/>
          <w:highlight w:val="none"/>
        </w:rPr>
        <w:t>卫生健康</w:t>
      </w:r>
      <w:r>
        <w:rPr>
          <w:rStyle w:val="17"/>
          <w:rFonts w:hint="eastAsia" w:ascii="仿宋" w:hAnsi="仿宋" w:eastAsia="仿宋"/>
          <w:bCs/>
          <w:color w:val="000000"/>
          <w:sz w:val="32"/>
          <w:szCs w:val="32"/>
          <w:highlight w:val="none"/>
          <w:lang w:val="en-US" w:eastAsia="zh-CN"/>
        </w:rPr>
        <w:t>210</w:t>
      </w:r>
      <w:r>
        <w:rPr>
          <w:rStyle w:val="17"/>
          <w:rFonts w:hint="eastAsia" w:ascii="仿宋" w:hAnsi="仿宋" w:eastAsia="仿宋"/>
          <w:bCs/>
          <w:color w:val="000000"/>
          <w:sz w:val="32"/>
          <w:szCs w:val="32"/>
          <w:highlight w:val="none"/>
        </w:rPr>
        <w:t>（类）</w:t>
      </w:r>
      <w:r>
        <w:rPr>
          <w:rStyle w:val="17"/>
          <w:rFonts w:hint="eastAsia" w:ascii="仿宋" w:hAnsi="仿宋" w:eastAsia="仿宋"/>
          <w:bCs/>
          <w:color w:val="000000"/>
          <w:sz w:val="32"/>
          <w:szCs w:val="32"/>
          <w:highlight w:val="none"/>
          <w:lang w:val="en-US" w:eastAsia="zh-CN"/>
        </w:rPr>
        <w:t>11</w:t>
      </w:r>
      <w:r>
        <w:rPr>
          <w:rStyle w:val="17"/>
          <w:rFonts w:hint="eastAsia" w:ascii="仿宋" w:hAnsi="仿宋" w:eastAsia="仿宋"/>
          <w:bCs/>
          <w:color w:val="000000"/>
          <w:sz w:val="32"/>
          <w:szCs w:val="32"/>
          <w:highlight w:val="none"/>
        </w:rPr>
        <w:t>（款）</w:t>
      </w:r>
      <w:r>
        <w:rPr>
          <w:rStyle w:val="17"/>
          <w:rFonts w:hint="eastAsia" w:ascii="仿宋" w:hAnsi="仿宋" w:eastAsia="仿宋"/>
          <w:bCs/>
          <w:color w:val="000000"/>
          <w:sz w:val="32"/>
          <w:szCs w:val="32"/>
          <w:highlight w:val="none"/>
          <w:lang w:val="en-US" w:eastAsia="zh-CN"/>
        </w:rPr>
        <w:t>03</w:t>
      </w:r>
      <w:r>
        <w:rPr>
          <w:rStyle w:val="17"/>
          <w:rFonts w:hint="eastAsia" w:ascii="仿宋" w:hAnsi="仿宋" w:eastAsia="仿宋"/>
          <w:bCs/>
          <w:color w:val="000000"/>
          <w:sz w:val="32"/>
          <w:szCs w:val="32"/>
          <w:highlight w:val="none"/>
        </w:rPr>
        <w:t>（项）</w:t>
      </w:r>
      <w:r>
        <w:rPr>
          <w:rStyle w:val="17"/>
          <w:rFonts w:ascii="仿宋" w:hAnsi="仿宋" w:eastAsia="仿宋"/>
          <w:bCs/>
          <w:sz w:val="32"/>
          <w:szCs w:val="32"/>
          <w:highlight w:val="none"/>
        </w:rPr>
        <w:t>:</w:t>
      </w:r>
      <w:r>
        <w:rPr>
          <w:rStyle w:val="17"/>
          <w:rFonts w:ascii="仿宋" w:hAnsi="仿宋" w:eastAsia="仿宋"/>
          <w:b w:val="0"/>
          <w:bCs/>
          <w:sz w:val="32"/>
          <w:szCs w:val="32"/>
          <w:highlight w:val="none"/>
        </w:rPr>
        <w:t xml:space="preserve"> </w:t>
      </w:r>
      <w:r>
        <w:rPr>
          <w:rStyle w:val="17"/>
          <w:rFonts w:hint="eastAsia" w:ascii="仿宋" w:hAnsi="仿宋" w:eastAsia="仿宋"/>
          <w:b w:val="0"/>
          <w:bCs/>
          <w:sz w:val="32"/>
          <w:szCs w:val="32"/>
          <w:highlight w:val="none"/>
        </w:rPr>
        <w:t>支出决算为</w:t>
      </w:r>
      <w:r>
        <w:rPr>
          <w:rFonts w:hint="eastAsia" w:ascii="仿宋" w:hAnsi="仿宋" w:eastAsia="仿宋"/>
          <w:sz w:val="32"/>
          <w:szCs w:val="32"/>
          <w:highlight w:val="none"/>
        </w:rPr>
        <w:t>2.28</w:t>
      </w:r>
      <w:r>
        <w:rPr>
          <w:rStyle w:val="17"/>
          <w:rFonts w:hint="eastAsia" w:ascii="仿宋" w:hAnsi="仿宋" w:eastAsia="仿宋"/>
          <w:b w:val="0"/>
          <w:bCs/>
          <w:sz w:val="32"/>
          <w:szCs w:val="32"/>
          <w:highlight w:val="none"/>
        </w:rPr>
        <w:t>万元，完成预算100</w:t>
      </w:r>
      <w:r>
        <w:rPr>
          <w:rFonts w:ascii="仿宋" w:hAnsi="仿宋" w:eastAsia="仿宋"/>
          <w:sz w:val="32"/>
          <w:szCs w:val="32"/>
          <w:highlight w:val="none"/>
        </w:rPr>
        <w:t>%</w:t>
      </w:r>
      <w:r>
        <w:rPr>
          <w:rStyle w:val="17"/>
          <w:rFonts w:hint="eastAsia" w:ascii="仿宋" w:hAnsi="仿宋" w:eastAsia="仿宋"/>
          <w:b w:val="0"/>
          <w:bCs/>
          <w:sz w:val="32"/>
          <w:szCs w:val="32"/>
          <w:highlight w:val="none"/>
        </w:rPr>
        <w:t>。</w:t>
      </w:r>
    </w:p>
    <w:p w14:paraId="6FA65D2A">
      <w:pPr>
        <w:numPr>
          <w:ilvl w:val="0"/>
          <w:numId w:val="0"/>
        </w:numPr>
        <w:spacing w:line="600" w:lineRule="exact"/>
        <w:ind w:firstLine="640" w:firstLineChars="200"/>
        <w:rPr>
          <w:rStyle w:val="17"/>
          <w:rFonts w:hint="eastAsia" w:ascii="仿宋" w:hAnsi="仿宋" w:eastAsia="仿宋"/>
          <w:b w:val="0"/>
          <w:bCs/>
          <w:sz w:val="32"/>
          <w:szCs w:val="32"/>
          <w:highlight w:val="none"/>
        </w:rPr>
      </w:pPr>
      <w:r>
        <w:rPr>
          <w:rStyle w:val="17"/>
          <w:rFonts w:hint="eastAsia" w:ascii="仿宋" w:hAnsi="仿宋" w:eastAsia="仿宋"/>
          <w:b w:val="0"/>
          <w:bCs w:val="0"/>
          <w:color w:val="000000"/>
          <w:sz w:val="32"/>
          <w:szCs w:val="32"/>
          <w:highlight w:val="none"/>
          <w:lang w:val="en-US" w:eastAsia="zh-CN"/>
        </w:rPr>
        <w:t>10.</w:t>
      </w:r>
      <w:r>
        <w:rPr>
          <w:rStyle w:val="17"/>
          <w:rFonts w:hint="eastAsia" w:ascii="仿宋" w:hAnsi="仿宋" w:eastAsia="仿宋"/>
          <w:bCs/>
          <w:color w:val="000000"/>
          <w:sz w:val="32"/>
          <w:szCs w:val="32"/>
          <w:highlight w:val="none"/>
        </w:rPr>
        <w:t>卫生健康</w:t>
      </w:r>
      <w:r>
        <w:rPr>
          <w:rStyle w:val="17"/>
          <w:rFonts w:hint="eastAsia" w:ascii="仿宋" w:hAnsi="仿宋" w:eastAsia="仿宋"/>
          <w:bCs/>
          <w:color w:val="000000"/>
          <w:sz w:val="32"/>
          <w:szCs w:val="32"/>
          <w:highlight w:val="none"/>
          <w:lang w:val="en-US" w:eastAsia="zh-CN"/>
        </w:rPr>
        <w:t>210</w:t>
      </w:r>
      <w:r>
        <w:rPr>
          <w:rStyle w:val="17"/>
          <w:rFonts w:hint="eastAsia" w:ascii="仿宋" w:hAnsi="仿宋" w:eastAsia="仿宋"/>
          <w:bCs/>
          <w:color w:val="000000"/>
          <w:sz w:val="32"/>
          <w:szCs w:val="32"/>
          <w:highlight w:val="none"/>
        </w:rPr>
        <w:t>（类）</w:t>
      </w:r>
      <w:r>
        <w:rPr>
          <w:rStyle w:val="17"/>
          <w:rFonts w:hint="eastAsia" w:ascii="仿宋" w:hAnsi="仿宋" w:eastAsia="仿宋"/>
          <w:bCs/>
          <w:color w:val="000000"/>
          <w:sz w:val="32"/>
          <w:szCs w:val="32"/>
          <w:highlight w:val="none"/>
          <w:lang w:val="en-US" w:eastAsia="zh-CN"/>
        </w:rPr>
        <w:t>11</w:t>
      </w:r>
      <w:r>
        <w:rPr>
          <w:rStyle w:val="17"/>
          <w:rFonts w:hint="eastAsia" w:ascii="仿宋" w:hAnsi="仿宋" w:eastAsia="仿宋"/>
          <w:bCs/>
          <w:color w:val="000000"/>
          <w:sz w:val="32"/>
          <w:szCs w:val="32"/>
          <w:highlight w:val="none"/>
        </w:rPr>
        <w:t>（款）</w:t>
      </w:r>
      <w:r>
        <w:rPr>
          <w:rStyle w:val="17"/>
          <w:rFonts w:hint="eastAsia" w:ascii="仿宋" w:hAnsi="仿宋" w:eastAsia="仿宋"/>
          <w:bCs/>
          <w:color w:val="000000"/>
          <w:sz w:val="32"/>
          <w:szCs w:val="32"/>
          <w:highlight w:val="none"/>
          <w:lang w:val="en-US" w:eastAsia="zh-CN"/>
        </w:rPr>
        <w:t>03</w:t>
      </w:r>
      <w:r>
        <w:rPr>
          <w:rStyle w:val="17"/>
          <w:rFonts w:hint="eastAsia" w:ascii="仿宋" w:hAnsi="仿宋" w:eastAsia="仿宋"/>
          <w:bCs/>
          <w:color w:val="000000"/>
          <w:sz w:val="32"/>
          <w:szCs w:val="32"/>
          <w:highlight w:val="none"/>
        </w:rPr>
        <w:t>（项）</w:t>
      </w:r>
      <w:r>
        <w:rPr>
          <w:rStyle w:val="17"/>
          <w:rFonts w:ascii="仿宋" w:hAnsi="仿宋" w:eastAsia="仿宋"/>
          <w:bCs/>
          <w:sz w:val="32"/>
          <w:szCs w:val="32"/>
          <w:highlight w:val="none"/>
        </w:rPr>
        <w:t>:</w:t>
      </w:r>
      <w:r>
        <w:rPr>
          <w:rStyle w:val="17"/>
          <w:rFonts w:ascii="仿宋" w:hAnsi="仿宋" w:eastAsia="仿宋"/>
          <w:b w:val="0"/>
          <w:bCs/>
          <w:sz w:val="32"/>
          <w:szCs w:val="32"/>
          <w:highlight w:val="none"/>
        </w:rPr>
        <w:t xml:space="preserve"> </w:t>
      </w:r>
      <w:r>
        <w:rPr>
          <w:rStyle w:val="17"/>
          <w:rFonts w:hint="eastAsia" w:ascii="仿宋" w:hAnsi="仿宋" w:eastAsia="仿宋"/>
          <w:b w:val="0"/>
          <w:bCs/>
          <w:sz w:val="32"/>
          <w:szCs w:val="32"/>
          <w:highlight w:val="none"/>
        </w:rPr>
        <w:t>支出决算为</w:t>
      </w:r>
      <w:r>
        <w:rPr>
          <w:rFonts w:hint="eastAsia" w:ascii="仿宋" w:hAnsi="仿宋" w:eastAsia="仿宋"/>
          <w:sz w:val="32"/>
          <w:szCs w:val="32"/>
          <w:highlight w:val="none"/>
        </w:rPr>
        <w:t>5.85</w:t>
      </w:r>
      <w:r>
        <w:rPr>
          <w:rStyle w:val="17"/>
          <w:rFonts w:hint="eastAsia" w:ascii="仿宋" w:hAnsi="仿宋" w:eastAsia="仿宋"/>
          <w:b w:val="0"/>
          <w:bCs/>
          <w:sz w:val="32"/>
          <w:szCs w:val="32"/>
          <w:highlight w:val="none"/>
        </w:rPr>
        <w:t>万元，完成预算100</w:t>
      </w:r>
      <w:r>
        <w:rPr>
          <w:rFonts w:ascii="仿宋" w:hAnsi="仿宋" w:eastAsia="仿宋"/>
          <w:sz w:val="32"/>
          <w:szCs w:val="32"/>
          <w:highlight w:val="none"/>
        </w:rPr>
        <w:t>%</w:t>
      </w:r>
      <w:r>
        <w:rPr>
          <w:rStyle w:val="17"/>
          <w:rFonts w:hint="eastAsia" w:ascii="仿宋" w:hAnsi="仿宋" w:eastAsia="仿宋"/>
          <w:b w:val="0"/>
          <w:bCs/>
          <w:sz w:val="32"/>
          <w:szCs w:val="32"/>
          <w:highlight w:val="none"/>
        </w:rPr>
        <w:t>。</w:t>
      </w:r>
    </w:p>
    <w:p w14:paraId="66EA7229">
      <w:pPr>
        <w:numPr>
          <w:ilvl w:val="0"/>
          <w:numId w:val="0"/>
        </w:numPr>
        <w:spacing w:line="600" w:lineRule="exact"/>
        <w:ind w:firstLine="640" w:firstLineChars="200"/>
        <w:rPr>
          <w:rStyle w:val="17"/>
          <w:rFonts w:ascii="仿宋" w:hAnsi="仿宋" w:eastAsia="仿宋"/>
          <w:b w:val="0"/>
          <w:bCs/>
          <w:sz w:val="32"/>
          <w:szCs w:val="32"/>
        </w:rPr>
      </w:pPr>
      <w:r>
        <w:rPr>
          <w:rStyle w:val="17"/>
          <w:rFonts w:hint="eastAsia" w:ascii="仿宋" w:hAnsi="仿宋" w:eastAsia="仿宋"/>
          <w:b w:val="0"/>
          <w:bCs/>
          <w:sz w:val="32"/>
          <w:szCs w:val="32"/>
          <w:highlight w:val="none"/>
          <w:lang w:val="en-US" w:eastAsia="zh-CN"/>
        </w:rPr>
        <w:t>11.</w:t>
      </w:r>
      <w:r>
        <w:rPr>
          <w:rStyle w:val="17"/>
          <w:rFonts w:hint="eastAsia" w:ascii="仿宋" w:hAnsi="仿宋" w:eastAsia="仿宋"/>
          <w:bCs/>
          <w:color w:val="000000"/>
          <w:sz w:val="32"/>
          <w:szCs w:val="32"/>
        </w:rPr>
        <w:t>城乡社区212（类）03（款）99（项）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sz w:val="32"/>
          <w:szCs w:val="32"/>
        </w:rPr>
        <w:t>127.43</w:t>
      </w:r>
      <w:r>
        <w:rPr>
          <w:rStyle w:val="17"/>
          <w:rFonts w:hint="eastAsia" w:ascii="仿宋" w:hAnsi="仿宋" w:eastAsia="仿宋"/>
          <w:b w:val="0"/>
          <w:bCs/>
          <w:sz w:val="32"/>
          <w:szCs w:val="32"/>
        </w:rPr>
        <w:t>万元，完成预算 100</w:t>
      </w:r>
      <w:r>
        <w:rPr>
          <w:rFonts w:ascii="仿宋" w:hAnsi="仿宋" w:eastAsia="仿宋"/>
          <w:sz w:val="32"/>
          <w:szCs w:val="32"/>
        </w:rPr>
        <w:t>%</w:t>
      </w:r>
      <w:r>
        <w:rPr>
          <w:rStyle w:val="17"/>
          <w:rFonts w:hint="eastAsia" w:ascii="仿宋" w:hAnsi="仿宋" w:eastAsia="仿宋"/>
          <w:b w:val="0"/>
          <w:bCs/>
          <w:sz w:val="32"/>
          <w:szCs w:val="32"/>
        </w:rPr>
        <w:t>。</w:t>
      </w:r>
    </w:p>
    <w:p w14:paraId="66BA1033">
      <w:pPr>
        <w:numPr>
          <w:ilvl w:val="0"/>
          <w:numId w:val="0"/>
        </w:numPr>
        <w:spacing w:line="600" w:lineRule="exact"/>
        <w:ind w:firstLine="640" w:firstLineChars="200"/>
        <w:rPr>
          <w:rStyle w:val="17"/>
          <w:rFonts w:hint="eastAsia" w:ascii="仿宋" w:hAnsi="仿宋" w:eastAsia="仿宋" w:cstheme="minorBidi"/>
          <w:b w:val="0"/>
          <w:bCs/>
          <w:sz w:val="32"/>
          <w:szCs w:val="32"/>
        </w:rPr>
      </w:pPr>
      <w:r>
        <w:rPr>
          <w:rStyle w:val="17"/>
          <w:rFonts w:hint="eastAsia" w:ascii="仿宋" w:hAnsi="仿宋" w:eastAsia="仿宋"/>
          <w:b w:val="0"/>
          <w:bCs w:val="0"/>
          <w:color w:val="000000"/>
          <w:sz w:val="32"/>
          <w:szCs w:val="32"/>
          <w:lang w:val="en-US" w:eastAsia="zh-CN"/>
        </w:rPr>
        <w:t>12.</w:t>
      </w:r>
      <w:r>
        <w:rPr>
          <w:rStyle w:val="17"/>
          <w:rFonts w:hint="eastAsia" w:ascii="仿宋" w:hAnsi="仿宋" w:eastAsia="仿宋"/>
          <w:bCs/>
          <w:color w:val="000000"/>
          <w:sz w:val="32"/>
          <w:szCs w:val="32"/>
        </w:rPr>
        <w:t>国有土地使用权出让收入安排212（类）0</w:t>
      </w:r>
      <w:r>
        <w:rPr>
          <w:rStyle w:val="17"/>
          <w:rFonts w:hint="eastAsia" w:ascii="仿宋" w:hAnsi="仿宋" w:eastAsia="仿宋"/>
          <w:bCs/>
          <w:color w:val="000000"/>
          <w:sz w:val="32"/>
          <w:szCs w:val="32"/>
          <w:lang w:val="en-US" w:eastAsia="zh-CN"/>
        </w:rPr>
        <w:t>8</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val="en-US" w:eastAsia="zh-CN"/>
        </w:rPr>
        <w:t>22</w:t>
      </w:r>
      <w:r>
        <w:rPr>
          <w:rStyle w:val="17"/>
          <w:rFonts w:hint="eastAsia" w:ascii="仿宋" w:hAnsi="仿宋" w:eastAsia="仿宋" w:cstheme="minorBidi"/>
          <w:bCs/>
          <w:color w:val="000000"/>
          <w:sz w:val="32"/>
          <w:szCs w:val="32"/>
        </w:rPr>
        <w:t>（项）:</w:t>
      </w:r>
      <w:r>
        <w:rPr>
          <w:rStyle w:val="17"/>
        </w:rPr>
        <w:t xml:space="preserve"> </w:t>
      </w:r>
      <w:r>
        <w:rPr>
          <w:rStyle w:val="17"/>
          <w:rFonts w:hint="eastAsia" w:ascii="仿宋" w:hAnsi="仿宋" w:eastAsia="仿宋" w:cstheme="minorBidi"/>
          <w:b w:val="0"/>
          <w:bCs/>
          <w:sz w:val="32"/>
          <w:szCs w:val="32"/>
        </w:rPr>
        <w:t>支出决算为</w:t>
      </w:r>
      <w:r>
        <w:rPr>
          <w:rStyle w:val="17"/>
          <w:rFonts w:hint="eastAsia" w:ascii="仿宋" w:hAnsi="仿宋" w:eastAsia="仿宋" w:cstheme="minorBidi"/>
          <w:b w:val="0"/>
          <w:bCs/>
          <w:sz w:val="32"/>
          <w:szCs w:val="32"/>
          <w:lang w:val="en-US" w:eastAsia="zh-CN"/>
        </w:rPr>
        <w:t>20</w:t>
      </w:r>
      <w:r>
        <w:rPr>
          <w:rStyle w:val="17"/>
          <w:rFonts w:hint="eastAsia" w:ascii="仿宋" w:hAnsi="仿宋" w:eastAsia="仿宋" w:cstheme="minorBidi"/>
          <w:b w:val="0"/>
          <w:bCs/>
          <w:sz w:val="32"/>
          <w:szCs w:val="32"/>
        </w:rPr>
        <w:t>万元，完成预算 100%。</w:t>
      </w:r>
    </w:p>
    <w:p w14:paraId="2D052FA4">
      <w:pPr>
        <w:numPr>
          <w:ilvl w:val="0"/>
          <w:numId w:val="0"/>
        </w:numPr>
        <w:spacing w:line="600" w:lineRule="exact"/>
        <w:ind w:firstLine="640" w:firstLineChars="200"/>
      </w:pPr>
      <w:r>
        <w:rPr>
          <w:rStyle w:val="17"/>
          <w:rFonts w:hint="eastAsia" w:ascii="仿宋" w:hAnsi="仿宋" w:eastAsia="仿宋"/>
          <w:b w:val="0"/>
          <w:bCs w:val="0"/>
          <w:color w:val="000000"/>
          <w:sz w:val="32"/>
          <w:szCs w:val="32"/>
          <w:lang w:val="en-US" w:eastAsia="zh-CN"/>
        </w:rPr>
        <w:t>13.</w:t>
      </w:r>
      <w:r>
        <w:rPr>
          <w:rStyle w:val="17"/>
          <w:rFonts w:hint="eastAsia" w:ascii="仿宋" w:hAnsi="仿宋" w:eastAsia="仿宋"/>
          <w:bCs/>
          <w:color w:val="000000"/>
          <w:sz w:val="32"/>
          <w:szCs w:val="32"/>
        </w:rPr>
        <w:t>国有土地使用权出让收入安排212（类）0</w:t>
      </w:r>
      <w:r>
        <w:rPr>
          <w:rStyle w:val="17"/>
          <w:rFonts w:hint="eastAsia" w:ascii="仿宋" w:hAnsi="仿宋" w:eastAsia="仿宋"/>
          <w:bCs/>
          <w:color w:val="000000"/>
          <w:sz w:val="32"/>
          <w:szCs w:val="32"/>
          <w:lang w:val="en-US" w:eastAsia="zh-CN"/>
        </w:rPr>
        <w:t>8</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val="en-US" w:eastAsia="zh-CN"/>
        </w:rPr>
        <w:t>99</w:t>
      </w:r>
      <w:r>
        <w:rPr>
          <w:rStyle w:val="17"/>
          <w:rFonts w:hint="eastAsia" w:ascii="仿宋" w:hAnsi="仿宋" w:eastAsia="仿宋"/>
          <w:bCs/>
          <w:color w:val="000000"/>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sz w:val="32"/>
          <w:szCs w:val="32"/>
          <w:lang w:val="en-US" w:eastAsia="zh-CN"/>
        </w:rPr>
        <w:t>100</w:t>
      </w:r>
      <w:r>
        <w:rPr>
          <w:rStyle w:val="17"/>
          <w:rFonts w:hint="eastAsia" w:ascii="仿宋" w:hAnsi="仿宋" w:eastAsia="仿宋"/>
          <w:b w:val="0"/>
          <w:bCs/>
          <w:sz w:val="32"/>
          <w:szCs w:val="32"/>
        </w:rPr>
        <w:t>万元，完成预算 100</w:t>
      </w:r>
      <w:r>
        <w:rPr>
          <w:rFonts w:ascii="仿宋" w:hAnsi="仿宋" w:eastAsia="仿宋"/>
          <w:sz w:val="32"/>
          <w:szCs w:val="32"/>
        </w:rPr>
        <w:t>%</w:t>
      </w:r>
      <w:r>
        <w:rPr>
          <w:rStyle w:val="17"/>
          <w:rFonts w:hint="eastAsia" w:ascii="仿宋" w:hAnsi="仿宋" w:eastAsia="仿宋"/>
          <w:b w:val="0"/>
          <w:bCs/>
          <w:sz w:val="32"/>
          <w:szCs w:val="32"/>
        </w:rPr>
        <w:t>。</w:t>
      </w:r>
    </w:p>
    <w:p w14:paraId="693D8C3D">
      <w:pPr>
        <w:numPr>
          <w:ilvl w:val="0"/>
          <w:numId w:val="0"/>
        </w:numPr>
        <w:spacing w:line="600" w:lineRule="exact"/>
        <w:ind w:firstLine="640" w:firstLineChars="200"/>
        <w:rPr>
          <w:rStyle w:val="17"/>
          <w:rFonts w:ascii="仿宋" w:hAnsi="仿宋" w:eastAsia="仿宋"/>
          <w:b w:val="0"/>
          <w:bCs/>
          <w:sz w:val="32"/>
          <w:szCs w:val="32"/>
        </w:rPr>
      </w:pPr>
      <w:r>
        <w:rPr>
          <w:rStyle w:val="17"/>
          <w:rFonts w:hint="eastAsia" w:ascii="仿宋" w:hAnsi="仿宋" w:eastAsia="仿宋"/>
          <w:b w:val="0"/>
          <w:bCs w:val="0"/>
          <w:color w:val="000000"/>
          <w:sz w:val="32"/>
          <w:szCs w:val="32"/>
          <w:lang w:val="en-US" w:eastAsia="zh-CN"/>
        </w:rPr>
        <w:t>14.</w:t>
      </w:r>
      <w:r>
        <w:rPr>
          <w:rStyle w:val="17"/>
          <w:rFonts w:hint="eastAsia" w:ascii="仿宋" w:hAnsi="仿宋" w:eastAsia="仿宋"/>
          <w:bCs/>
          <w:color w:val="000000"/>
          <w:sz w:val="32"/>
          <w:szCs w:val="32"/>
        </w:rPr>
        <w:t>农林水21</w:t>
      </w:r>
      <w:r>
        <w:rPr>
          <w:rStyle w:val="17"/>
          <w:rFonts w:hint="eastAsia" w:ascii="仿宋" w:hAnsi="仿宋" w:eastAsia="仿宋"/>
          <w:bCs/>
          <w:color w:val="000000"/>
          <w:sz w:val="32"/>
          <w:szCs w:val="32"/>
          <w:lang w:val="en-US" w:eastAsia="zh-CN"/>
        </w:rPr>
        <w:t>3</w:t>
      </w:r>
      <w:r>
        <w:rPr>
          <w:rStyle w:val="17"/>
          <w:rFonts w:hint="eastAsia" w:ascii="仿宋" w:hAnsi="仿宋" w:eastAsia="仿宋"/>
          <w:bCs/>
          <w:color w:val="000000"/>
          <w:sz w:val="32"/>
          <w:szCs w:val="32"/>
        </w:rPr>
        <w:t>（类）0</w:t>
      </w:r>
      <w:r>
        <w:rPr>
          <w:rStyle w:val="17"/>
          <w:rFonts w:hint="eastAsia" w:ascii="仿宋" w:hAnsi="仿宋" w:eastAsia="仿宋"/>
          <w:bCs/>
          <w:color w:val="000000"/>
          <w:sz w:val="32"/>
          <w:szCs w:val="32"/>
          <w:lang w:val="en-US" w:eastAsia="zh-CN"/>
        </w:rPr>
        <w:t>1</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val="en-US" w:eastAsia="zh-CN"/>
        </w:rPr>
        <w:t>26</w:t>
      </w:r>
      <w:r>
        <w:rPr>
          <w:rStyle w:val="17"/>
          <w:rFonts w:hint="eastAsia" w:ascii="仿宋" w:hAnsi="仿宋" w:eastAsia="仿宋"/>
          <w:bCs/>
          <w:color w:val="000000"/>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sz w:val="32"/>
          <w:szCs w:val="32"/>
        </w:rPr>
        <w:t>100</w:t>
      </w:r>
      <w:r>
        <w:rPr>
          <w:rStyle w:val="17"/>
          <w:rFonts w:hint="eastAsia" w:ascii="仿宋" w:hAnsi="仿宋" w:eastAsia="仿宋"/>
          <w:b w:val="0"/>
          <w:bCs/>
          <w:sz w:val="32"/>
          <w:szCs w:val="32"/>
        </w:rPr>
        <w:t>万元，完成预算 100</w:t>
      </w:r>
      <w:r>
        <w:rPr>
          <w:rFonts w:ascii="仿宋" w:hAnsi="仿宋" w:eastAsia="仿宋"/>
          <w:sz w:val="32"/>
          <w:szCs w:val="32"/>
        </w:rPr>
        <w:t>%</w:t>
      </w:r>
      <w:r>
        <w:rPr>
          <w:rStyle w:val="17"/>
          <w:rFonts w:hint="eastAsia" w:ascii="仿宋" w:hAnsi="仿宋" w:eastAsia="仿宋"/>
          <w:b w:val="0"/>
          <w:bCs/>
          <w:sz w:val="32"/>
          <w:szCs w:val="32"/>
        </w:rPr>
        <w:t>。</w:t>
      </w:r>
    </w:p>
    <w:p w14:paraId="3BB999DF">
      <w:pPr>
        <w:numPr>
          <w:ilvl w:val="0"/>
          <w:numId w:val="0"/>
        </w:numPr>
        <w:spacing w:line="600" w:lineRule="exact"/>
        <w:ind w:firstLine="640" w:firstLineChars="200"/>
        <w:rPr>
          <w:rFonts w:ascii="仿宋" w:hAnsi="仿宋" w:eastAsia="仿宋"/>
          <w:b/>
          <w:color w:val="auto"/>
          <w:sz w:val="32"/>
          <w:szCs w:val="32"/>
          <w:highlight w:val="none"/>
        </w:rPr>
      </w:pPr>
      <w:r>
        <w:rPr>
          <w:rStyle w:val="17"/>
          <w:rFonts w:hint="eastAsia" w:ascii="仿宋" w:hAnsi="仿宋" w:eastAsia="仿宋"/>
          <w:b w:val="0"/>
          <w:bCs w:val="0"/>
          <w:color w:val="000000"/>
          <w:sz w:val="32"/>
          <w:szCs w:val="32"/>
          <w:lang w:val="en-US" w:eastAsia="zh-CN"/>
        </w:rPr>
        <w:t>15.</w:t>
      </w:r>
      <w:r>
        <w:rPr>
          <w:rStyle w:val="17"/>
          <w:rFonts w:hint="eastAsia" w:ascii="仿宋" w:hAnsi="仿宋" w:eastAsia="仿宋"/>
          <w:bCs/>
          <w:color w:val="000000"/>
          <w:sz w:val="32"/>
          <w:szCs w:val="32"/>
        </w:rPr>
        <w:t>住房保障221（类）02（款）01（项）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sz w:val="32"/>
          <w:szCs w:val="32"/>
        </w:rPr>
        <w:t>37.80</w:t>
      </w:r>
      <w:r>
        <w:rPr>
          <w:rStyle w:val="17"/>
          <w:rFonts w:hint="eastAsia" w:ascii="仿宋" w:hAnsi="仿宋" w:eastAsia="仿宋"/>
          <w:b w:val="0"/>
          <w:bCs/>
          <w:sz w:val="32"/>
          <w:szCs w:val="32"/>
        </w:rPr>
        <w:t>万元，完成预算 100</w:t>
      </w:r>
      <w:r>
        <w:rPr>
          <w:rFonts w:ascii="仿宋" w:hAnsi="仿宋" w:eastAsia="仿宋"/>
          <w:sz w:val="32"/>
          <w:szCs w:val="32"/>
        </w:rPr>
        <w:t>%</w:t>
      </w:r>
      <w:r>
        <w:rPr>
          <w:rStyle w:val="17"/>
          <w:rFonts w:hint="eastAsia" w:ascii="仿宋" w:hAnsi="仿宋" w:eastAsia="仿宋"/>
          <w:b w:val="0"/>
          <w:bCs/>
          <w:sz w:val="32"/>
          <w:szCs w:val="32"/>
        </w:rPr>
        <w:t>。</w:t>
      </w:r>
    </w:p>
    <w:p w14:paraId="578B07F9">
      <w:pPr>
        <w:tabs>
          <w:tab w:val="right" w:pos="8306"/>
        </w:tabs>
        <w:spacing w:line="600" w:lineRule="exact"/>
        <w:ind w:firstLine="640"/>
        <w:outlineLvl w:val="1"/>
        <w:rPr>
          <w:rStyle w:val="29"/>
          <w:rFonts w:ascii="Times New Roman" w:hAnsi="Times New Roman"/>
        </w:rPr>
      </w:pPr>
      <w:bookmarkStart w:id="29" w:name="_Toc15377214"/>
      <w:bookmarkStart w:id="30" w:name="_Toc15396608"/>
      <w:r>
        <w:rPr>
          <w:rFonts w:hint="eastAsia" w:eastAsia="黑体"/>
          <w:sz w:val="32"/>
          <w:szCs w:val="32"/>
        </w:rPr>
        <w:t>六</w:t>
      </w:r>
      <w:r>
        <w:rPr>
          <w:rFonts w:hint="eastAsia" w:eastAsia="黑体"/>
          <w:b/>
          <w:sz w:val="32"/>
          <w:szCs w:val="32"/>
        </w:rPr>
        <w:t>、一</w:t>
      </w:r>
      <w:r>
        <w:rPr>
          <w:rStyle w:val="29"/>
          <w:rFonts w:hint="eastAsia" w:ascii="Times New Roman" w:hAnsi="Times New Roman" w:eastAsia="黑体"/>
          <w:b w:val="0"/>
        </w:rPr>
        <w:t>般公共预算财政拨款基本支出决算情况说明</w:t>
      </w:r>
      <w:bookmarkEnd w:id="29"/>
      <w:bookmarkEnd w:id="30"/>
      <w:r>
        <w:rPr>
          <w:rStyle w:val="29"/>
          <w:rFonts w:ascii="Times New Roman" w:hAnsi="Times New Roman" w:eastAsia="黑体"/>
          <w:b w:val="0"/>
        </w:rPr>
        <w:tab/>
      </w:r>
    </w:p>
    <w:p w14:paraId="4343530B">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2024年度一般公共预算财政拨款基本支出</w:t>
      </w:r>
      <w:r>
        <w:rPr>
          <w:rFonts w:hint="eastAsia" w:ascii="仿宋_GB2312" w:hAnsi="仿宋_GB2312" w:eastAsia="仿宋_GB2312" w:cs="仿宋_GB2312"/>
          <w:sz w:val="32"/>
          <w:szCs w:val="32"/>
        </w:rPr>
        <w:t>797.18万</w:t>
      </w:r>
      <w:r>
        <w:rPr>
          <w:rFonts w:hint="eastAsia" w:eastAsia="仿宋_GB2312" w:cs="仿宋_GB2312"/>
          <w:sz w:val="32"/>
          <w:szCs w:val="32"/>
        </w:rPr>
        <w:t>元，其中：</w:t>
      </w:r>
    </w:p>
    <w:p w14:paraId="4CB0C1FA">
      <w:pPr>
        <w:spacing w:line="600" w:lineRule="exact"/>
        <w:ind w:firstLine="640"/>
        <w:rPr>
          <w:rFonts w:eastAsia="仿宋_GB2312" w:cs="仿宋_GB2312"/>
          <w:sz w:val="32"/>
          <w:szCs w:val="32"/>
        </w:rPr>
      </w:pPr>
      <w:r>
        <w:rPr>
          <w:rFonts w:hint="eastAsia" w:eastAsia="仿宋_GB2312" w:cs="仿宋_GB2312"/>
          <w:sz w:val="32"/>
          <w:szCs w:val="32"/>
        </w:rPr>
        <w:t>人员经费</w:t>
      </w:r>
      <w:r>
        <w:rPr>
          <w:rFonts w:hint="eastAsia" w:ascii="仿宋_GB2312" w:hAnsi="仿宋_GB2312" w:eastAsia="仿宋_GB2312" w:cs="仿宋_GB2312"/>
          <w:sz w:val="32"/>
          <w:szCs w:val="32"/>
        </w:rPr>
        <w:t>454.76万</w:t>
      </w:r>
      <w:r>
        <w:rPr>
          <w:rFonts w:hint="eastAsia" w:eastAsia="仿宋_GB2312" w:cs="仿宋_GB2312"/>
          <w:sz w:val="32"/>
          <w:szCs w:val="32"/>
        </w:rPr>
        <w:t>元，主要包括：基本工资、津贴补贴、奖金、绩效工资、机关事业单位基本养老保险缴费、其他社会保障缴费、其他工资福利支出、退休费、生活补助、医疗费补助、奖励金、住房公积金支出等。</w:t>
      </w:r>
      <w:r>
        <w:rPr>
          <w:rFonts w:hint="eastAsia" w:eastAsia="仿宋_GB2312" w:cs="仿宋_GB2312"/>
          <w:sz w:val="32"/>
          <w:szCs w:val="32"/>
        </w:rPr>
        <w:br w:type="textWrapping"/>
      </w:r>
      <w:r>
        <w:rPr>
          <w:rFonts w:hint="eastAsia" w:eastAsia="仿宋_GB2312" w:cs="仿宋_GB2312"/>
          <w:sz w:val="32"/>
          <w:szCs w:val="32"/>
        </w:rPr>
        <w:t>　　公用经费</w:t>
      </w:r>
      <w:r>
        <w:rPr>
          <w:rFonts w:hint="eastAsia" w:ascii="仿宋_GB2312" w:hAnsi="仿宋_GB2312" w:eastAsia="仿宋_GB2312" w:cs="仿宋_GB2312"/>
          <w:sz w:val="32"/>
          <w:szCs w:val="32"/>
        </w:rPr>
        <w:t>342.42万</w:t>
      </w:r>
      <w:r>
        <w:rPr>
          <w:rFonts w:hint="eastAsia" w:eastAsia="仿宋_GB2312" w:cs="仿宋_GB2312"/>
          <w:sz w:val="32"/>
          <w:szCs w:val="32"/>
        </w:rPr>
        <w:t>元，主要包括：办公费、印刷费、水费、电费、邮电费、物业管理费、差旅费、因公出国（境）费用、租赁费、会议费、培训费、公务接待费、劳务费、委托业务费、工会经费、福利费、公务用车运行维护费、其他交通费、其他商品和服务支出、专用设备购置支出等。</w:t>
      </w:r>
    </w:p>
    <w:p w14:paraId="4143D26F">
      <w:pPr>
        <w:spacing w:line="600" w:lineRule="exact"/>
        <w:ind w:firstLine="640"/>
        <w:outlineLvl w:val="1"/>
        <w:rPr>
          <w:rStyle w:val="29"/>
          <w:rFonts w:ascii="Times New Roman" w:hAnsi="Times New Roman" w:eastAsia="黑体"/>
          <w:b w:val="0"/>
        </w:rPr>
      </w:pPr>
      <w:bookmarkStart w:id="31" w:name="_Toc15396609"/>
      <w:bookmarkStart w:id="32" w:name="_Toc15377215"/>
      <w:r>
        <w:rPr>
          <w:rFonts w:hint="eastAsia" w:eastAsia="黑体"/>
          <w:sz w:val="32"/>
          <w:szCs w:val="32"/>
        </w:rPr>
        <w:t>七、</w:t>
      </w:r>
      <w:r>
        <w:rPr>
          <w:rStyle w:val="29"/>
          <w:rFonts w:hint="eastAsia" w:ascii="Times New Roman" w:hAnsi="Times New Roman" w:eastAsia="黑体"/>
          <w:b w:val="0"/>
        </w:rPr>
        <w:t>财政拨款</w:t>
      </w:r>
      <w:r>
        <w:rPr>
          <w:rStyle w:val="29"/>
          <w:rFonts w:hint="eastAsia" w:ascii="Times New Roman" w:hAnsi="Times New Roman" w:eastAsia="黑体"/>
        </w:rPr>
        <w:t>“</w:t>
      </w:r>
      <w:r>
        <w:rPr>
          <w:rStyle w:val="29"/>
          <w:rFonts w:hint="eastAsia" w:ascii="Times New Roman" w:hAnsi="Times New Roman" w:eastAsia="黑体"/>
          <w:b w:val="0"/>
        </w:rPr>
        <w:t>三公”经费支出决算情况说明</w:t>
      </w:r>
      <w:bookmarkEnd w:id="31"/>
      <w:bookmarkEnd w:id="32"/>
    </w:p>
    <w:p w14:paraId="0F061C4D">
      <w:pPr>
        <w:spacing w:line="600" w:lineRule="exact"/>
        <w:ind w:firstLine="643" w:firstLineChars="200"/>
        <w:outlineLvl w:val="2"/>
        <w:rPr>
          <w:rFonts w:eastAsia="楷体_GB2312" w:cs="楷体_GB2312"/>
          <w:b/>
          <w:sz w:val="32"/>
          <w:szCs w:val="32"/>
        </w:rPr>
      </w:pPr>
      <w:bookmarkStart w:id="33" w:name="_Toc15377216"/>
      <w:r>
        <w:rPr>
          <w:rFonts w:hint="eastAsia" w:eastAsia="楷体_GB2312" w:cs="楷体_GB2312"/>
          <w:b/>
          <w:sz w:val="32"/>
          <w:szCs w:val="32"/>
        </w:rPr>
        <w:t>（一）“三公”经费财政拨款支出决算总体情况说明</w:t>
      </w:r>
      <w:bookmarkEnd w:id="33"/>
    </w:p>
    <w:p w14:paraId="538EA6F7">
      <w:pPr>
        <w:spacing w:line="600" w:lineRule="exact"/>
        <w:ind w:firstLine="640"/>
        <w:rPr>
          <w:rFonts w:ascii="仿宋" w:hAnsi="仿宋" w:eastAsia="仿宋"/>
          <w:color w:val="auto"/>
          <w:sz w:val="32"/>
          <w:szCs w:val="32"/>
          <w:highlight w:val="none"/>
        </w:rPr>
      </w:pPr>
      <w:r>
        <w:rPr>
          <w:rFonts w:hint="eastAsia" w:eastAsia="仿宋_GB2312" w:cs="仿宋_GB2312"/>
          <w:sz w:val="32"/>
          <w:szCs w:val="32"/>
        </w:rPr>
        <w:t>2024年度“三公”经费财政拨款支出决算为</w:t>
      </w:r>
      <w:r>
        <w:rPr>
          <w:rFonts w:hint="eastAsia" w:ascii="仿宋_GB2312" w:hAnsi="仿宋_GB2312" w:eastAsia="仿宋_GB2312" w:cs="仿宋_GB2312"/>
          <w:sz w:val="32"/>
          <w:szCs w:val="32"/>
        </w:rPr>
        <w:t>1.25万元，完成预算</w:t>
      </w:r>
      <w:r>
        <w:rPr>
          <w:rFonts w:hint="eastAsia" w:ascii="仿宋_GB2312" w:hAnsi="仿宋_GB2312" w:eastAsia="仿宋_GB2312" w:cs="仿宋_GB2312"/>
          <w:sz w:val="32"/>
          <w:szCs w:val="32"/>
          <w:lang w:val="en-US" w:eastAsia="zh-CN"/>
        </w:rPr>
        <w:t>44.66</w:t>
      </w:r>
      <w:r>
        <w:rPr>
          <w:rFonts w:hint="eastAsia" w:ascii="仿宋_GB2312" w:hAnsi="仿宋_GB2312" w:eastAsia="仿宋_GB2312" w:cs="仿宋_GB2312"/>
          <w:sz w:val="32"/>
          <w:szCs w:val="32"/>
        </w:rPr>
        <w:t>%，</w:t>
      </w:r>
      <w:r>
        <w:rPr>
          <w:rFonts w:hint="eastAsia" w:eastAsia="仿宋_GB2312" w:cs="仿宋_GB2312"/>
          <w:sz w:val="32"/>
          <w:szCs w:val="32"/>
        </w:rPr>
        <w:t>较上年度减少</w:t>
      </w:r>
      <w:r>
        <w:rPr>
          <w:rFonts w:hint="eastAsia" w:eastAsia="仿宋_GB2312" w:cs="仿宋_GB2312"/>
          <w:sz w:val="32"/>
          <w:szCs w:val="32"/>
          <w:lang w:val="en-US" w:eastAsia="zh-CN"/>
        </w:rPr>
        <w:t>0.08</w:t>
      </w:r>
      <w:r>
        <w:rPr>
          <w:rFonts w:hint="eastAsia" w:eastAsia="仿宋_GB2312" w:cs="仿宋_GB2312"/>
          <w:sz w:val="32"/>
          <w:szCs w:val="32"/>
        </w:rPr>
        <w:t>万元，下降</w:t>
      </w:r>
      <w:r>
        <w:rPr>
          <w:rFonts w:hint="eastAsia" w:eastAsia="仿宋_GB2312" w:cs="仿宋_GB2312"/>
          <w:sz w:val="32"/>
          <w:szCs w:val="32"/>
          <w:lang w:val="en-US" w:eastAsia="zh-CN"/>
        </w:rPr>
        <w:t>6.02</w:t>
      </w:r>
      <w:r>
        <w:rPr>
          <w:rFonts w:hint="eastAsia" w:eastAsia="仿宋_GB2312" w:cs="仿宋_GB2312"/>
          <w:sz w:val="32"/>
          <w:szCs w:val="32"/>
        </w:rPr>
        <w:t>%。决算数小于预算数的主要原因是</w:t>
      </w:r>
      <w:r>
        <w:rPr>
          <w:rFonts w:hint="eastAsia" w:ascii="仿宋" w:hAnsi="仿宋" w:eastAsia="仿宋"/>
          <w:sz w:val="32"/>
          <w:szCs w:val="32"/>
        </w:rPr>
        <w:t>单位厉行节俭，根据工作实际严控三公经费</w:t>
      </w:r>
      <w:r>
        <w:rPr>
          <w:rFonts w:hint="eastAsia" w:ascii="仿宋" w:hAnsi="仿宋" w:eastAsia="仿宋"/>
          <w:color w:val="auto"/>
          <w:sz w:val="32"/>
          <w:szCs w:val="32"/>
          <w:highlight w:val="none"/>
        </w:rPr>
        <w:t>。</w:t>
      </w:r>
    </w:p>
    <w:p w14:paraId="7AEB8BC5">
      <w:pPr>
        <w:spacing w:line="600" w:lineRule="exact"/>
        <w:ind w:firstLine="643" w:firstLineChars="200"/>
        <w:outlineLvl w:val="2"/>
        <w:rPr>
          <w:rFonts w:eastAsia="楷体_GB2312" w:cs="楷体_GB2312"/>
          <w:b/>
          <w:sz w:val="32"/>
          <w:szCs w:val="32"/>
        </w:rPr>
      </w:pPr>
      <w:bookmarkStart w:id="34" w:name="_Toc15377217"/>
      <w:r>
        <w:rPr>
          <w:rFonts w:hint="eastAsia" w:eastAsia="楷体_GB2312" w:cs="楷体_GB2312"/>
          <w:b/>
          <w:sz w:val="32"/>
          <w:szCs w:val="32"/>
        </w:rPr>
        <w:t>（二）“三公”经费财政拨款支出决算具体情况说明</w:t>
      </w:r>
      <w:bookmarkEnd w:id="34"/>
    </w:p>
    <w:p w14:paraId="4E66A0C4">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2024年度“三公”经费财政拨款支出决算中，因公出国（境）费支出决算0万元；公务用车购置及运行维护费支出决算1.13万元，占</w:t>
      </w:r>
      <w:r>
        <w:rPr>
          <w:rFonts w:hint="eastAsia" w:ascii="仿宋_GB2312" w:hAnsi="仿宋_GB2312" w:eastAsia="仿宋_GB2312" w:cs="仿宋_GB2312"/>
          <w:sz w:val="32"/>
          <w:szCs w:val="32"/>
          <w:lang w:val="en-US" w:eastAsia="zh-CN"/>
        </w:rPr>
        <w:t>90.4</w:t>
      </w:r>
      <w:r>
        <w:rPr>
          <w:rFonts w:hint="eastAsia" w:ascii="仿宋_GB2312" w:hAnsi="仿宋_GB2312" w:eastAsia="仿宋_GB2312" w:cs="仿宋_GB2312"/>
          <w:sz w:val="32"/>
          <w:szCs w:val="32"/>
        </w:rPr>
        <w:t>%；公务接待费支出决算0.12万元，占</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%。具体情况如下：</w:t>
      </w:r>
    </w:p>
    <w:p w14:paraId="49F86B7B">
      <w:pPr>
        <w:pStyle w:val="2"/>
        <w:rPr>
          <w:rFonts w:hint="eastAsia" w:eastAsia="仿宋_GB2312"/>
          <w:lang w:eastAsia="zh-CN"/>
        </w:rPr>
      </w:pPr>
      <w:r>
        <w:rPr>
          <w:rFonts w:hint="eastAsia"/>
          <w:lang w:val="en-US" w:eastAsia="zh-CN"/>
        </w:rPr>
        <w:t xml:space="preserve">               </w:t>
      </w:r>
      <w:r>
        <w:rPr>
          <w:rFonts w:hint="eastAsia" w:eastAsia="仿宋_GB2312"/>
          <w:lang w:eastAsia="zh-CN"/>
        </w:rPr>
        <w:drawing>
          <wp:inline distT="0" distB="0" distL="114300" distR="114300">
            <wp:extent cx="2755265" cy="2101850"/>
            <wp:effectExtent l="0" t="0" r="3175" b="1270"/>
            <wp:docPr id="8" name="图片 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
                    <pic:cNvPicPr>
                      <a:picLocks noChangeAspect="1"/>
                    </pic:cNvPicPr>
                  </pic:nvPicPr>
                  <pic:blipFill>
                    <a:blip r:embed="rId14"/>
                    <a:stretch>
                      <a:fillRect/>
                    </a:stretch>
                  </pic:blipFill>
                  <pic:spPr>
                    <a:xfrm>
                      <a:off x="0" y="0"/>
                      <a:ext cx="2755265" cy="2101850"/>
                    </a:xfrm>
                    <a:prstGeom prst="rect">
                      <a:avLst/>
                    </a:prstGeom>
                  </pic:spPr>
                </pic:pic>
              </a:graphicData>
            </a:graphic>
          </wp:inline>
        </w:drawing>
      </w:r>
    </w:p>
    <w:p w14:paraId="569A10DD">
      <w:pPr>
        <w:spacing w:line="600" w:lineRule="exact"/>
        <w:ind w:firstLine="1292" w:firstLineChars="404"/>
        <w:rPr>
          <w:rFonts w:hint="eastAsia" w:eastAsia="仿宋_GB2312" w:cs="仿宋_GB2312"/>
          <w:sz w:val="32"/>
          <w:szCs w:val="32"/>
        </w:rPr>
      </w:pPr>
      <w:r>
        <w:rPr>
          <w:rFonts w:hint="eastAsia" w:eastAsia="仿宋_GB2312" w:cs="仿宋_GB2312"/>
          <w:sz w:val="32"/>
          <w:szCs w:val="32"/>
        </w:rPr>
        <w:t>（图7：“三公”经费财政拨款支出结构）</w:t>
      </w:r>
    </w:p>
    <w:p w14:paraId="006258DB">
      <w:pPr>
        <w:spacing w:line="600" w:lineRule="exact"/>
        <w:ind w:firstLine="640"/>
        <w:rPr>
          <w:rFonts w:ascii="仿宋_GB2312" w:eastAsia="仿宋_GB2312"/>
          <w:b/>
          <w:sz w:val="32"/>
          <w:szCs w:val="32"/>
        </w:rPr>
      </w:pPr>
      <w:r>
        <w:rPr>
          <w:rFonts w:hint="eastAsia" w:eastAsia="仿宋_GB2312" w:cs="仿宋_GB2312"/>
          <w:b/>
          <w:bCs/>
          <w:sz w:val="32"/>
          <w:szCs w:val="32"/>
        </w:rPr>
        <w:t>1.因公出国（境）经费支出</w:t>
      </w:r>
      <w:r>
        <w:rPr>
          <w:rFonts w:hint="eastAsia" w:eastAsia="仿宋_GB2312" w:cs="仿宋_GB2312"/>
          <w:b/>
          <w:bCs/>
          <w:sz w:val="32"/>
          <w:szCs w:val="32"/>
          <w:lang w:val="en-US" w:eastAsia="zh-CN"/>
        </w:rPr>
        <w:t>0</w:t>
      </w:r>
      <w:r>
        <w:rPr>
          <w:rFonts w:hint="eastAsia" w:eastAsia="仿宋_GB2312" w:cs="仿宋_GB2312"/>
          <w:b/>
          <w:bCs/>
          <w:sz w:val="32"/>
          <w:szCs w:val="32"/>
        </w:rPr>
        <w:t>万元。</w:t>
      </w:r>
      <w:r>
        <w:rPr>
          <w:rFonts w:hint="eastAsia" w:eastAsia="仿宋_GB2312" w:cs="仿宋_GB2312"/>
          <w:sz w:val="32"/>
          <w:szCs w:val="32"/>
        </w:rPr>
        <w:t>全年安排因公出国（境）团</w:t>
      </w:r>
      <w:r>
        <w:rPr>
          <w:rFonts w:hint="eastAsia" w:ascii="仿宋_GB2312" w:hAnsi="仿宋_GB2312" w:eastAsia="仿宋_GB2312" w:cs="仿宋_GB2312"/>
          <w:sz w:val="32"/>
          <w:szCs w:val="32"/>
        </w:rPr>
        <w:t>组0</w:t>
      </w:r>
      <w:r>
        <w:rPr>
          <w:rFonts w:hint="eastAsia" w:eastAsia="仿宋_GB2312" w:cs="仿宋_GB2312"/>
          <w:sz w:val="32"/>
          <w:szCs w:val="32"/>
        </w:rPr>
        <w:t>次，出国（境）</w:t>
      </w:r>
      <w:r>
        <w:rPr>
          <w:rFonts w:hint="eastAsia" w:ascii="仿宋_GB2312" w:hAnsi="仿宋_GB2312" w:eastAsia="仿宋_GB2312" w:cs="仿宋_GB2312"/>
          <w:sz w:val="32"/>
          <w:szCs w:val="32"/>
        </w:rPr>
        <w:t>0人</w:t>
      </w:r>
      <w:r>
        <w:rPr>
          <w:rFonts w:hint="eastAsia" w:eastAsia="仿宋_GB2312" w:cs="仿宋_GB2312"/>
          <w:sz w:val="32"/>
          <w:szCs w:val="32"/>
        </w:rPr>
        <w:t>。因公出国（境）支出决算比2023年</w:t>
      </w:r>
      <w:r>
        <w:rPr>
          <w:rFonts w:hint="eastAsia" w:ascii="仿宋_GB2312" w:eastAsia="仿宋_GB2312"/>
          <w:sz w:val="32"/>
          <w:szCs w:val="32"/>
        </w:rPr>
        <w:t>持平，主要是未安排因公出国（境）。</w:t>
      </w:r>
    </w:p>
    <w:p w14:paraId="4EDE6863">
      <w:pPr>
        <w:spacing w:line="600" w:lineRule="exact"/>
        <w:ind w:firstLine="640"/>
        <w:rPr>
          <w:rFonts w:ascii="仿宋" w:hAnsi="仿宋" w:eastAsia="仿宋"/>
          <w:color w:val="auto"/>
          <w:sz w:val="32"/>
          <w:szCs w:val="32"/>
          <w:highlight w:val="none"/>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1.13万</w:t>
      </w:r>
      <w:r>
        <w:rPr>
          <w:rFonts w:hint="eastAsia" w:eastAsia="仿宋_GB2312" w:cs="仿宋_GB2312"/>
          <w:b/>
          <w:bCs/>
          <w:sz w:val="32"/>
          <w:szCs w:val="32"/>
        </w:rPr>
        <w:t>元，完成预算</w:t>
      </w:r>
      <w:r>
        <w:rPr>
          <w:rFonts w:hint="eastAsia" w:eastAsia="仿宋_GB2312" w:cs="仿宋_GB2312"/>
          <w:b/>
          <w:bCs/>
          <w:sz w:val="32"/>
          <w:szCs w:val="32"/>
          <w:lang w:val="en-US" w:eastAsia="zh-CN"/>
        </w:rPr>
        <w:t>50</w:t>
      </w:r>
      <w:r>
        <w:rPr>
          <w:rFonts w:hint="eastAsia" w:eastAsia="仿宋_GB2312" w:cs="仿宋_GB2312"/>
          <w:b/>
          <w:bCs/>
          <w:sz w:val="32"/>
          <w:szCs w:val="32"/>
        </w:rPr>
        <w:t>%。</w:t>
      </w:r>
      <w:r>
        <w:rPr>
          <w:rFonts w:hint="eastAsia" w:eastAsia="仿宋_GB2312" w:cs="仿宋_GB2312"/>
          <w:sz w:val="32"/>
          <w:szCs w:val="32"/>
        </w:rPr>
        <w:t>公务用车购置及运行维护费支出决算比2023年度减少</w:t>
      </w:r>
      <w:r>
        <w:rPr>
          <w:rFonts w:hint="eastAsia" w:eastAsia="仿宋_GB2312" w:cs="仿宋_GB2312"/>
          <w:sz w:val="32"/>
          <w:szCs w:val="32"/>
          <w:lang w:val="en-US" w:eastAsia="zh-CN"/>
        </w:rPr>
        <w:t>0.04</w:t>
      </w:r>
      <w:r>
        <w:rPr>
          <w:rFonts w:hint="eastAsia" w:eastAsia="仿宋_GB2312" w:cs="仿宋_GB2312"/>
          <w:sz w:val="32"/>
          <w:szCs w:val="32"/>
        </w:rPr>
        <w:t>万元，下降</w:t>
      </w:r>
      <w:r>
        <w:rPr>
          <w:rFonts w:hint="eastAsia" w:eastAsia="仿宋_GB2312" w:cs="仿宋_GB2312"/>
          <w:sz w:val="32"/>
          <w:szCs w:val="32"/>
          <w:lang w:val="en-US" w:eastAsia="zh-CN"/>
        </w:rPr>
        <w:t>3.4</w:t>
      </w:r>
      <w:r>
        <w:rPr>
          <w:rFonts w:hint="eastAsia" w:eastAsia="仿宋_GB2312" w:cs="仿宋_GB2312"/>
          <w:sz w:val="32"/>
          <w:szCs w:val="32"/>
        </w:rPr>
        <w:t>%。</w:t>
      </w:r>
      <w:r>
        <w:rPr>
          <w:rFonts w:hint="eastAsia" w:ascii="仿宋_GB2312" w:eastAsia="仿宋_GB2312"/>
          <w:color w:val="auto"/>
          <w:sz w:val="32"/>
          <w:szCs w:val="32"/>
          <w:highlight w:val="none"/>
        </w:rPr>
        <w:t>主要原因是</w:t>
      </w:r>
      <w:r>
        <w:rPr>
          <w:rFonts w:hint="eastAsia" w:ascii="仿宋" w:hAnsi="仿宋" w:eastAsia="仿宋"/>
          <w:sz w:val="32"/>
          <w:szCs w:val="32"/>
        </w:rPr>
        <w:t>单位厉行节俭，根据工作实际</w:t>
      </w:r>
      <w:r>
        <w:rPr>
          <w:rFonts w:hint="eastAsia" w:ascii="仿宋" w:hAnsi="仿宋" w:eastAsia="仿宋"/>
          <w:sz w:val="32"/>
          <w:szCs w:val="32"/>
          <w:lang w:val="en-US" w:eastAsia="zh-CN"/>
        </w:rPr>
        <w:t>轻车简行</w:t>
      </w:r>
      <w:r>
        <w:rPr>
          <w:rFonts w:hint="eastAsia" w:ascii="仿宋" w:hAnsi="仿宋" w:eastAsia="仿宋"/>
          <w:color w:val="auto"/>
          <w:sz w:val="32"/>
          <w:szCs w:val="32"/>
          <w:highlight w:val="none"/>
        </w:rPr>
        <w:t>。</w:t>
      </w:r>
    </w:p>
    <w:p w14:paraId="5C08C046">
      <w:pPr>
        <w:spacing w:line="600" w:lineRule="exact"/>
        <w:ind w:firstLine="640"/>
        <w:rPr>
          <w:rFonts w:eastAsia="仿宋_GB2312" w:cs="仿宋_GB2312"/>
          <w:sz w:val="32"/>
          <w:szCs w:val="32"/>
        </w:rPr>
      </w:pPr>
      <w:r>
        <w:rPr>
          <w:rFonts w:hint="eastAsia" w:eastAsia="仿宋_GB2312" w:cs="仿宋_GB2312"/>
          <w:sz w:val="32"/>
          <w:szCs w:val="32"/>
        </w:rPr>
        <w:t>其中：公务用车购置支</w:t>
      </w:r>
      <w:r>
        <w:rPr>
          <w:rFonts w:hint="eastAsia" w:ascii="仿宋_GB2312" w:hAnsi="仿宋_GB2312" w:eastAsia="仿宋_GB2312" w:cs="仿宋_GB2312"/>
          <w:sz w:val="32"/>
          <w:szCs w:val="32"/>
        </w:rPr>
        <w:t>出0</w:t>
      </w:r>
      <w:r>
        <w:rPr>
          <w:rFonts w:hint="eastAsia" w:eastAsia="仿宋_GB2312" w:cs="仿宋_GB2312"/>
          <w:sz w:val="32"/>
          <w:szCs w:val="32"/>
        </w:rPr>
        <w:t>万元。全年按规定更新购置公务用车</w:t>
      </w:r>
      <w:r>
        <w:rPr>
          <w:rFonts w:hint="eastAsia" w:eastAsia="仿宋_GB2312" w:cs="仿宋_GB2312"/>
          <w:sz w:val="32"/>
          <w:szCs w:val="32"/>
          <w:lang w:val="en-US" w:eastAsia="zh-CN"/>
        </w:rPr>
        <w:t>0</w:t>
      </w:r>
      <w:r>
        <w:rPr>
          <w:rFonts w:hint="eastAsia" w:eastAsia="仿宋_GB2312" w:cs="仿宋_GB2312"/>
          <w:sz w:val="32"/>
          <w:szCs w:val="32"/>
        </w:rPr>
        <w:t>辆</w:t>
      </w:r>
      <w:r>
        <w:rPr>
          <w:rFonts w:hint="eastAsia" w:eastAsia="仿宋_GB2312" w:cs="仿宋_GB2312"/>
          <w:sz w:val="32"/>
          <w:szCs w:val="32"/>
          <w:lang w:eastAsia="zh-CN"/>
        </w:rPr>
        <w:t>。</w:t>
      </w:r>
      <w:r>
        <w:rPr>
          <w:rFonts w:hint="eastAsia" w:eastAsia="仿宋_GB2312" w:cs="仿宋_GB2312"/>
          <w:sz w:val="32"/>
          <w:szCs w:val="32"/>
        </w:rPr>
        <w:t>截至2024年12月31日，单位共有公务用车</w:t>
      </w:r>
      <w:r>
        <w:rPr>
          <w:rFonts w:hint="eastAsia" w:eastAsia="仿宋_GB2312" w:cs="仿宋_GB2312"/>
          <w:sz w:val="32"/>
          <w:szCs w:val="32"/>
          <w:lang w:val="en-US" w:eastAsia="zh-CN"/>
        </w:rPr>
        <w:t>1</w:t>
      </w:r>
      <w:r>
        <w:rPr>
          <w:rFonts w:hint="eastAsia" w:eastAsia="仿宋_GB2312" w:cs="仿宋_GB2312"/>
          <w:sz w:val="32"/>
          <w:szCs w:val="32"/>
        </w:rPr>
        <w:t>辆，其中：轿车</w:t>
      </w:r>
      <w:r>
        <w:rPr>
          <w:rFonts w:hint="eastAsia" w:eastAsia="仿宋_GB2312" w:cs="仿宋_GB2312"/>
          <w:sz w:val="32"/>
          <w:szCs w:val="32"/>
          <w:lang w:val="en-US" w:eastAsia="zh-CN"/>
        </w:rPr>
        <w:t>1</w:t>
      </w:r>
      <w:r>
        <w:rPr>
          <w:rFonts w:hint="eastAsia" w:eastAsia="仿宋_GB2312" w:cs="仿宋_GB2312"/>
          <w:sz w:val="32"/>
          <w:szCs w:val="32"/>
        </w:rPr>
        <w:t>辆。</w:t>
      </w:r>
    </w:p>
    <w:p w14:paraId="3E9AA9A3">
      <w:pPr>
        <w:spacing w:line="600" w:lineRule="exact"/>
        <w:ind w:firstLine="640"/>
        <w:rPr>
          <w:rFonts w:eastAsia="仿宋_GB2312" w:cs="仿宋_GB2312"/>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出1.13</w:t>
      </w:r>
      <w:r>
        <w:rPr>
          <w:rFonts w:hint="eastAsia" w:eastAsia="仿宋_GB2312" w:cs="仿宋_GB2312"/>
          <w:sz w:val="32"/>
          <w:szCs w:val="32"/>
        </w:rPr>
        <w:t>万元。主要用于</w:t>
      </w:r>
      <w:r>
        <w:rPr>
          <w:rFonts w:hint="eastAsia" w:eastAsia="仿宋_GB2312" w:cs="仿宋_GB2312"/>
          <w:sz w:val="32"/>
          <w:szCs w:val="32"/>
          <w:lang w:val="en-US" w:eastAsia="zh-CN"/>
        </w:rPr>
        <w:t>数字政府建设、</w:t>
      </w:r>
      <w:r>
        <w:rPr>
          <w:rFonts w:hint="eastAsia" w:ascii="仿宋_GB2312" w:eastAsia="仿宋_GB2312"/>
          <w:sz w:val="32"/>
          <w:szCs w:val="32"/>
        </w:rPr>
        <w:t>生育周期一件事代办</w:t>
      </w:r>
      <w:r>
        <w:rPr>
          <w:rFonts w:hint="eastAsia" w:ascii="仿宋_GB2312" w:eastAsia="仿宋_GB2312"/>
          <w:sz w:val="32"/>
          <w:szCs w:val="32"/>
          <w:lang w:val="en-US" w:eastAsia="zh-CN"/>
        </w:rPr>
        <w:t>等工作</w:t>
      </w:r>
      <w:r>
        <w:rPr>
          <w:rFonts w:hint="eastAsia" w:eastAsia="仿宋_GB2312" w:cs="仿宋_GB2312"/>
          <w:sz w:val="32"/>
          <w:szCs w:val="32"/>
        </w:rPr>
        <w:t>所需的公务用车燃料费、维修费、过路过桥费、保险费等支出。</w:t>
      </w:r>
    </w:p>
    <w:p w14:paraId="091E2C59">
      <w:pPr>
        <w:spacing w:line="600" w:lineRule="exact"/>
        <w:ind w:firstLine="640"/>
        <w:rPr>
          <w:rFonts w:eastAsia="仿宋_GB2312" w:cs="仿宋_GB2312"/>
          <w:sz w:val="32"/>
          <w:szCs w:val="32"/>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0.12万</w:t>
      </w:r>
      <w:r>
        <w:rPr>
          <w:rFonts w:hint="eastAsia" w:eastAsia="仿宋_GB2312" w:cs="仿宋_GB2312"/>
          <w:b/>
          <w:bCs/>
          <w:sz w:val="32"/>
          <w:szCs w:val="32"/>
        </w:rPr>
        <w:t>元，完成预算</w:t>
      </w:r>
      <w:r>
        <w:rPr>
          <w:rFonts w:hint="eastAsia" w:eastAsia="仿宋_GB2312" w:cs="仿宋_GB2312"/>
          <w:b/>
          <w:bCs/>
          <w:sz w:val="32"/>
          <w:szCs w:val="32"/>
          <w:lang w:val="en-US" w:eastAsia="zh-CN"/>
        </w:rPr>
        <w:t>22.64</w:t>
      </w:r>
      <w:r>
        <w:rPr>
          <w:rFonts w:hint="eastAsia" w:eastAsia="仿宋_GB2312" w:cs="仿宋_GB2312"/>
          <w:b/>
          <w:bCs/>
          <w:sz w:val="32"/>
          <w:szCs w:val="32"/>
        </w:rPr>
        <w:t>%。</w:t>
      </w:r>
      <w:r>
        <w:rPr>
          <w:rFonts w:hint="eastAsia" w:eastAsia="仿宋_GB2312" w:cs="仿宋_GB2312"/>
          <w:sz w:val="32"/>
          <w:szCs w:val="32"/>
        </w:rPr>
        <w:t>公务接待费支出决算比2023年度减少</w:t>
      </w:r>
      <w:r>
        <w:rPr>
          <w:rFonts w:hint="eastAsia" w:eastAsia="仿宋_GB2312" w:cs="仿宋_GB2312"/>
          <w:sz w:val="32"/>
          <w:szCs w:val="32"/>
          <w:lang w:val="en-US" w:eastAsia="zh-CN"/>
        </w:rPr>
        <w:t>0.04</w:t>
      </w:r>
      <w:r>
        <w:rPr>
          <w:rFonts w:hint="eastAsia" w:eastAsia="仿宋_GB2312" w:cs="仿宋_GB2312"/>
          <w:sz w:val="32"/>
          <w:szCs w:val="32"/>
        </w:rPr>
        <w:t>万元，下降</w:t>
      </w:r>
      <w:r>
        <w:rPr>
          <w:rFonts w:hint="eastAsia" w:eastAsia="仿宋_GB2312" w:cs="仿宋_GB2312"/>
          <w:sz w:val="32"/>
          <w:szCs w:val="32"/>
          <w:lang w:val="en-US" w:eastAsia="zh-CN"/>
        </w:rPr>
        <w:t>25</w:t>
      </w:r>
      <w:r>
        <w:rPr>
          <w:rFonts w:hint="eastAsia" w:eastAsia="仿宋_GB2312" w:cs="仿宋_GB2312"/>
          <w:sz w:val="32"/>
          <w:szCs w:val="32"/>
        </w:rPr>
        <w:t>%。主要原因是</w:t>
      </w:r>
      <w:r>
        <w:rPr>
          <w:rFonts w:hint="eastAsia" w:ascii="仿宋" w:hAnsi="仿宋" w:eastAsia="仿宋"/>
          <w:sz w:val="32"/>
          <w:szCs w:val="32"/>
        </w:rPr>
        <w:t>上级调研检查和市州间交流较预期少，根据工作实际严控接待标准和范围</w:t>
      </w:r>
      <w:r>
        <w:rPr>
          <w:rFonts w:hint="eastAsia" w:ascii="仿宋_GB2312" w:eastAsia="仿宋_GB2312"/>
          <w:color w:val="auto"/>
          <w:sz w:val="32"/>
          <w:szCs w:val="32"/>
          <w:highlight w:val="none"/>
        </w:rPr>
        <w:t>。</w:t>
      </w:r>
      <w:r>
        <w:rPr>
          <w:rFonts w:hint="eastAsia" w:eastAsia="仿宋_GB2312" w:cs="仿宋_GB2312"/>
          <w:sz w:val="32"/>
          <w:szCs w:val="32"/>
        </w:rPr>
        <w:t>其中：</w:t>
      </w:r>
    </w:p>
    <w:p w14:paraId="69A5970B">
      <w:pPr>
        <w:spacing w:line="600" w:lineRule="exact"/>
        <w:ind w:firstLine="640"/>
        <w:rPr>
          <w:rFonts w:hint="eastAsia" w:eastAsia="仿宋_GB2312" w:cs="仿宋_GB2312"/>
          <w:sz w:val="32"/>
          <w:szCs w:val="32"/>
          <w:lang w:val="en-US" w:eastAsia="zh-CN"/>
        </w:rPr>
      </w:pPr>
      <w:r>
        <w:rPr>
          <w:rFonts w:hint="eastAsia" w:eastAsia="仿宋_GB2312" w:cs="仿宋_GB2312"/>
          <w:sz w:val="32"/>
          <w:szCs w:val="32"/>
        </w:rPr>
        <w:t>国内公务接待支</w:t>
      </w:r>
      <w:r>
        <w:rPr>
          <w:rFonts w:hint="eastAsia" w:ascii="仿宋_GB2312" w:hAnsi="仿宋_GB2312" w:eastAsia="仿宋_GB2312" w:cs="仿宋_GB2312"/>
          <w:sz w:val="32"/>
          <w:szCs w:val="32"/>
        </w:rPr>
        <w:t>出0.12万</w:t>
      </w:r>
      <w:r>
        <w:rPr>
          <w:rFonts w:hint="eastAsia" w:eastAsia="仿宋_GB2312" w:cs="仿宋_GB2312"/>
          <w:sz w:val="32"/>
          <w:szCs w:val="32"/>
        </w:rPr>
        <w:t>元，主要用于</w:t>
      </w:r>
      <w:r>
        <w:rPr>
          <w:rFonts w:hint="eastAsia" w:eastAsia="仿宋_GB2312" w:cs="仿宋_GB2312"/>
          <w:sz w:val="32"/>
          <w:szCs w:val="32"/>
          <w:lang w:val="en-US" w:eastAsia="zh-CN"/>
        </w:rPr>
        <w:t>政务服务工作调研的用餐费</w:t>
      </w:r>
      <w:r>
        <w:rPr>
          <w:rFonts w:hint="eastAsia" w:eastAsia="仿宋_GB2312" w:cs="仿宋_GB2312"/>
          <w:sz w:val="32"/>
          <w:szCs w:val="32"/>
        </w:rPr>
        <w:t>。国内公务接</w:t>
      </w:r>
      <w:r>
        <w:rPr>
          <w:rFonts w:hint="eastAsia" w:ascii="仿宋_GB2312" w:hAnsi="仿宋_GB2312" w:eastAsia="仿宋_GB2312" w:cs="仿宋_GB2312"/>
          <w:sz w:val="32"/>
          <w:szCs w:val="32"/>
        </w:rPr>
        <w:t>待1批次，</w:t>
      </w:r>
      <w:r>
        <w:rPr>
          <w:rFonts w:hint="eastAsia" w:ascii="仿宋_GB2312" w:hAnsi="仿宋_GB2312" w:eastAsia="仿宋_GB2312" w:cs="仿宋_GB2312"/>
          <w:sz w:val="32"/>
          <w:szCs w:val="32"/>
          <w:lang w:val="en-US" w:eastAsia="zh-CN"/>
        </w:rPr>
        <w:t>4</w:t>
      </w:r>
      <w:r>
        <w:rPr>
          <w:rFonts w:hint="eastAsia" w:eastAsia="仿宋_GB2312" w:cs="仿宋_GB2312"/>
          <w:sz w:val="32"/>
          <w:szCs w:val="32"/>
        </w:rPr>
        <w:t>人次（不包括陪同人员），共计支出</w:t>
      </w:r>
      <w:r>
        <w:rPr>
          <w:rFonts w:hint="eastAsia" w:eastAsia="仿宋_GB2312" w:cs="仿宋_GB2312"/>
          <w:sz w:val="32"/>
          <w:szCs w:val="32"/>
          <w:lang w:val="en-US" w:eastAsia="zh-CN"/>
        </w:rPr>
        <w:t>0.12</w:t>
      </w:r>
      <w:r>
        <w:rPr>
          <w:rFonts w:hint="eastAsia" w:eastAsia="仿宋_GB2312" w:cs="仿宋_GB2312"/>
          <w:sz w:val="32"/>
          <w:szCs w:val="32"/>
        </w:rPr>
        <w:t>万元，具体内容包括：</w:t>
      </w:r>
      <w:r>
        <w:rPr>
          <w:rFonts w:hint="eastAsia" w:eastAsia="仿宋_GB2312" w:cs="仿宋_GB2312"/>
          <w:sz w:val="32"/>
          <w:szCs w:val="32"/>
          <w:lang w:val="en-US" w:eastAsia="zh-CN"/>
        </w:rPr>
        <w:t>政务服务工作调研用餐费0.12万元。</w:t>
      </w:r>
    </w:p>
    <w:p w14:paraId="326AC30F">
      <w:pPr>
        <w:spacing w:line="600" w:lineRule="exact"/>
        <w:ind w:firstLine="640"/>
        <w:rPr>
          <w:rFonts w:eastAsia="仿宋_GB2312" w:cs="仿宋_GB2312"/>
          <w:sz w:val="32"/>
          <w:szCs w:val="32"/>
        </w:rPr>
      </w:pPr>
      <w:r>
        <w:rPr>
          <w:rFonts w:hint="eastAsia" w:eastAsia="仿宋_GB2312" w:cs="仿宋_GB2312"/>
          <w:sz w:val="32"/>
          <w:szCs w:val="32"/>
        </w:rPr>
        <w:t>外事接待支</w:t>
      </w:r>
      <w:r>
        <w:rPr>
          <w:rFonts w:hint="eastAsia" w:ascii="仿宋_GB2312" w:hAnsi="仿宋_GB2312" w:eastAsia="仿宋_GB2312" w:cs="仿宋_GB2312"/>
          <w:sz w:val="32"/>
          <w:szCs w:val="32"/>
        </w:rPr>
        <w:t>出0万元</w:t>
      </w:r>
      <w:r>
        <w:rPr>
          <w:rFonts w:hint="eastAsia" w:eastAsia="仿宋_GB2312" w:cs="仿宋_GB2312"/>
          <w:sz w:val="32"/>
          <w:szCs w:val="32"/>
        </w:rPr>
        <w:t>。</w:t>
      </w:r>
      <w:bookmarkStart w:id="35" w:name="_Toc15396610"/>
      <w:bookmarkStart w:id="36" w:name="_Toc15377218"/>
    </w:p>
    <w:p w14:paraId="308C7C58">
      <w:pPr>
        <w:spacing w:line="600" w:lineRule="exact"/>
        <w:ind w:firstLine="640"/>
        <w:outlineLvl w:val="1"/>
        <w:rPr>
          <w:rStyle w:val="29"/>
          <w:rFonts w:ascii="Times New Roman" w:hAnsi="Times New Roman" w:eastAsia="黑体"/>
        </w:rPr>
      </w:pPr>
      <w:r>
        <w:rPr>
          <w:rFonts w:hint="eastAsia" w:eastAsia="黑体"/>
          <w:sz w:val="32"/>
          <w:szCs w:val="32"/>
        </w:rPr>
        <w:t>八、</w:t>
      </w:r>
      <w:r>
        <w:rPr>
          <w:rStyle w:val="29"/>
          <w:rFonts w:hint="eastAsia" w:ascii="Times New Roman" w:hAnsi="Times New Roman" w:eastAsia="黑体"/>
          <w:b w:val="0"/>
        </w:rPr>
        <w:t>政府性基金预算支出决算情况说明</w:t>
      </w:r>
      <w:bookmarkEnd w:id="35"/>
      <w:bookmarkEnd w:id="36"/>
    </w:p>
    <w:p w14:paraId="30438379">
      <w:pPr>
        <w:spacing w:line="600" w:lineRule="exact"/>
        <w:ind w:firstLine="640"/>
        <w:rPr>
          <w:rFonts w:hint="default" w:eastAsia="仿宋_GB2312" w:cs="仿宋_GB2312"/>
          <w:sz w:val="32"/>
          <w:szCs w:val="32"/>
          <w:lang w:val="en-US" w:eastAsia="zh-CN"/>
        </w:rPr>
      </w:pPr>
      <w:r>
        <w:rPr>
          <w:rFonts w:hint="eastAsia" w:ascii="仿宋_GB2312" w:hAnsi="仿宋_GB2312" w:eastAsia="仿宋_GB2312" w:cs="仿宋_GB2312"/>
          <w:sz w:val="32"/>
          <w:szCs w:val="32"/>
        </w:rPr>
        <w:t>2024年度政府性基金预算财政拨款支出120万元，占本年支出合计的7.25%</w:t>
      </w:r>
      <w:r>
        <w:rPr>
          <w:rFonts w:hint="eastAsia" w:eastAsia="仿宋_GB2312" w:cs="仿宋_GB2312"/>
          <w:sz w:val="32"/>
          <w:szCs w:val="32"/>
        </w:rPr>
        <w:t>。与2023年度相比，政府性基金预算财政拨款支出增加</w:t>
      </w:r>
      <w:r>
        <w:rPr>
          <w:rFonts w:hint="eastAsia" w:eastAsia="仿宋_GB2312" w:cs="仿宋_GB2312"/>
          <w:sz w:val="32"/>
          <w:szCs w:val="32"/>
          <w:lang w:val="en-US" w:eastAsia="zh-CN"/>
        </w:rPr>
        <w:t>120</w:t>
      </w:r>
      <w:r>
        <w:rPr>
          <w:rFonts w:hint="eastAsia" w:eastAsia="仿宋_GB2312" w:cs="仿宋_GB2312"/>
          <w:sz w:val="32"/>
          <w:szCs w:val="32"/>
        </w:rPr>
        <w:t>万元，增长</w:t>
      </w:r>
      <w:r>
        <w:rPr>
          <w:rFonts w:hint="eastAsia" w:eastAsia="仿宋_GB2312" w:cs="仿宋_GB2312"/>
          <w:sz w:val="32"/>
          <w:szCs w:val="32"/>
          <w:lang w:val="en-US" w:eastAsia="zh-CN"/>
        </w:rPr>
        <w:t>100</w:t>
      </w:r>
      <w:r>
        <w:rPr>
          <w:rFonts w:hint="eastAsia" w:eastAsia="仿宋_GB2312" w:cs="仿宋_GB2312"/>
          <w:sz w:val="32"/>
          <w:szCs w:val="32"/>
        </w:rPr>
        <w:t>%。主要变动原因是</w:t>
      </w:r>
      <w:r>
        <w:rPr>
          <w:rFonts w:hint="eastAsia" w:eastAsia="仿宋_GB2312" w:cs="仿宋_GB2312"/>
          <w:sz w:val="32"/>
          <w:szCs w:val="32"/>
          <w:lang w:val="en-US" w:eastAsia="zh-CN"/>
        </w:rPr>
        <w:t>增加了偿还新址信息化建设部分费用。</w:t>
      </w:r>
    </w:p>
    <w:p w14:paraId="77123BA0">
      <w:pPr>
        <w:spacing w:line="600" w:lineRule="exact"/>
        <w:ind w:left="630"/>
        <w:outlineLvl w:val="1"/>
        <w:rPr>
          <w:rStyle w:val="29"/>
          <w:rFonts w:ascii="Times New Roman" w:hAnsi="Times New Roman" w:eastAsia="黑体"/>
          <w:b w:val="0"/>
        </w:rPr>
      </w:pPr>
      <w:bookmarkStart w:id="37" w:name="_Toc15377219"/>
      <w:bookmarkStart w:id="38" w:name="_Toc15396611"/>
      <w:r>
        <w:rPr>
          <w:rStyle w:val="29"/>
          <w:rFonts w:hint="eastAsia" w:ascii="Times New Roman" w:hAnsi="Times New Roman" w:eastAsia="黑体"/>
          <w:b w:val="0"/>
        </w:rPr>
        <w:t>九、国有资本经营预算支出决算情况说明</w:t>
      </w:r>
      <w:bookmarkEnd w:id="37"/>
      <w:bookmarkEnd w:id="38"/>
    </w:p>
    <w:p w14:paraId="4C62A013">
      <w:pPr>
        <w:spacing w:line="600" w:lineRule="exact"/>
        <w:ind w:firstLine="640"/>
        <w:rPr>
          <w:rFonts w:hint="eastAsia" w:eastAsia="仿宋_GB2312" w:cs="仿宋_GB2312"/>
          <w:sz w:val="32"/>
          <w:szCs w:val="32"/>
          <w:lang w:eastAsia="zh-CN"/>
        </w:rPr>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rPr>
        <w:t>0万元</w:t>
      </w:r>
      <w:r>
        <w:rPr>
          <w:rFonts w:hint="eastAsia" w:eastAsia="仿宋_GB2312" w:cs="仿宋_GB2312"/>
          <w:sz w:val="32"/>
          <w:szCs w:val="32"/>
          <w:lang w:val="en-US" w:eastAsia="zh-CN"/>
        </w:rPr>
        <w:t>。</w:t>
      </w:r>
    </w:p>
    <w:p w14:paraId="7BC8A501">
      <w:pPr>
        <w:spacing w:line="600" w:lineRule="exact"/>
        <w:ind w:left="630"/>
        <w:outlineLvl w:val="1"/>
        <w:rPr>
          <w:rStyle w:val="29"/>
          <w:rFonts w:ascii="Times New Roman" w:hAnsi="Times New Roman" w:eastAsia="黑体"/>
          <w:b w:val="0"/>
        </w:rPr>
      </w:pPr>
      <w:bookmarkStart w:id="39" w:name="_Toc15396612"/>
      <w:bookmarkStart w:id="40" w:name="_Toc15377221"/>
      <w:r>
        <w:rPr>
          <w:rStyle w:val="29"/>
          <w:rFonts w:hint="eastAsia" w:ascii="Times New Roman" w:hAnsi="Times New Roman" w:eastAsia="黑体"/>
          <w:b w:val="0"/>
        </w:rPr>
        <w:t>十、其他重要事项的情况说明</w:t>
      </w:r>
      <w:bookmarkEnd w:id="39"/>
      <w:bookmarkEnd w:id="40"/>
    </w:p>
    <w:p w14:paraId="032EADD7">
      <w:pPr>
        <w:spacing w:line="600" w:lineRule="exact"/>
        <w:ind w:firstLine="643" w:firstLineChars="200"/>
        <w:outlineLvl w:val="2"/>
        <w:rPr>
          <w:rFonts w:eastAsia="楷体_GB2312" w:cs="楷体_GB2312"/>
          <w:b/>
          <w:sz w:val="32"/>
          <w:szCs w:val="32"/>
        </w:rPr>
      </w:pPr>
      <w:bookmarkStart w:id="41" w:name="_Toc15377222"/>
      <w:r>
        <w:rPr>
          <w:rFonts w:hint="eastAsia" w:eastAsia="楷体_GB2312" w:cs="楷体_GB2312"/>
          <w:b/>
          <w:sz w:val="32"/>
          <w:szCs w:val="32"/>
        </w:rPr>
        <w:t>（一）机关运行经费支出情况</w:t>
      </w:r>
      <w:bookmarkEnd w:id="41"/>
    </w:p>
    <w:p w14:paraId="482F4F93">
      <w:pPr>
        <w:spacing w:line="600" w:lineRule="exact"/>
        <w:ind w:firstLine="640"/>
        <w:rPr>
          <w:rFonts w:hint="default" w:eastAsia="仿宋_GB2312" w:cs="仿宋_GB2312"/>
          <w:sz w:val="32"/>
          <w:szCs w:val="32"/>
          <w:lang w:val="en-US" w:eastAsia="zh-CN"/>
        </w:rPr>
      </w:pPr>
      <w:r>
        <w:rPr>
          <w:rFonts w:hint="eastAsia" w:eastAsia="仿宋_GB2312" w:cs="仿宋_GB2312"/>
          <w:sz w:val="32"/>
          <w:szCs w:val="32"/>
        </w:rPr>
        <w:t>2024年度</w:t>
      </w:r>
      <w:r>
        <w:rPr>
          <w:rFonts w:hint="eastAsia" w:ascii="仿宋_GB2312" w:hAnsi="仿宋_GB2312" w:eastAsia="仿宋_GB2312" w:cs="仿宋_GB2312"/>
          <w:sz w:val="32"/>
          <w:szCs w:val="32"/>
        </w:rPr>
        <w:t>，四川省攀枝花市政务服务管理局（本级）机关运行经费支出</w:t>
      </w:r>
      <w:r>
        <w:rPr>
          <w:rFonts w:hint="eastAsia" w:ascii="仿宋_GB2312" w:hAnsi="仿宋_GB2312" w:eastAsia="仿宋_GB2312" w:cs="仿宋_GB2312"/>
          <w:sz w:val="32"/>
          <w:szCs w:val="32"/>
          <w:lang w:val="en-US" w:eastAsia="zh-CN"/>
        </w:rPr>
        <w:t>342.42</w:t>
      </w:r>
      <w:r>
        <w:rPr>
          <w:rFonts w:hint="eastAsia" w:ascii="仿宋_GB2312" w:hAnsi="仿宋_GB2312" w:eastAsia="仿宋_GB2312" w:cs="仿宋_GB2312"/>
          <w:sz w:val="32"/>
          <w:szCs w:val="32"/>
        </w:rPr>
        <w:t>万</w:t>
      </w:r>
      <w:r>
        <w:rPr>
          <w:rFonts w:hint="eastAsia" w:eastAsia="仿宋_GB2312" w:cs="仿宋_GB2312"/>
          <w:sz w:val="32"/>
          <w:szCs w:val="32"/>
        </w:rPr>
        <w:t>元，比2023年度增加</w:t>
      </w:r>
      <w:r>
        <w:rPr>
          <w:rFonts w:hint="eastAsia" w:eastAsia="仿宋_GB2312" w:cs="仿宋_GB2312"/>
          <w:sz w:val="32"/>
          <w:szCs w:val="32"/>
          <w:lang w:val="en-US" w:eastAsia="zh-CN"/>
        </w:rPr>
        <w:t>290.46</w:t>
      </w:r>
      <w:r>
        <w:rPr>
          <w:rFonts w:hint="eastAsia" w:eastAsia="仿宋_GB2312" w:cs="仿宋_GB2312"/>
          <w:sz w:val="32"/>
          <w:szCs w:val="32"/>
        </w:rPr>
        <w:t>万元，增长</w:t>
      </w:r>
      <w:r>
        <w:rPr>
          <w:rFonts w:hint="eastAsia" w:eastAsia="仿宋_GB2312" w:cs="仿宋_GB2312"/>
          <w:sz w:val="32"/>
          <w:szCs w:val="32"/>
          <w:lang w:val="en-US" w:eastAsia="zh-CN"/>
        </w:rPr>
        <w:t>559</w:t>
      </w:r>
      <w:r>
        <w:rPr>
          <w:rFonts w:hint="eastAsia" w:eastAsia="仿宋_GB2312" w:cs="仿宋_GB2312"/>
          <w:sz w:val="32"/>
          <w:szCs w:val="32"/>
        </w:rPr>
        <w:t>%。主要原因是</w:t>
      </w:r>
      <w:r>
        <w:rPr>
          <w:rFonts w:hint="eastAsia" w:eastAsia="仿宋_GB2312" w:cs="仿宋_GB2312"/>
          <w:sz w:val="32"/>
          <w:szCs w:val="32"/>
          <w:lang w:val="en-US" w:eastAsia="zh-CN"/>
        </w:rPr>
        <w:t>2024年增加了清偿中小企业物业管理费、劳务费、委托业务费以及政府购买服务等费用。</w:t>
      </w:r>
    </w:p>
    <w:p w14:paraId="2A9FB3BB">
      <w:pPr>
        <w:spacing w:line="600" w:lineRule="exact"/>
        <w:ind w:firstLine="643" w:firstLineChars="200"/>
        <w:outlineLvl w:val="2"/>
        <w:rPr>
          <w:rFonts w:eastAsia="楷体_GB2312" w:cs="楷体_GB2312"/>
          <w:b/>
          <w:sz w:val="32"/>
          <w:szCs w:val="32"/>
        </w:rPr>
      </w:pPr>
      <w:bookmarkStart w:id="42" w:name="_Toc15377223"/>
      <w:r>
        <w:rPr>
          <w:rFonts w:hint="eastAsia" w:eastAsia="楷体_GB2312" w:cs="楷体_GB2312"/>
          <w:b/>
          <w:sz w:val="32"/>
          <w:szCs w:val="32"/>
        </w:rPr>
        <w:t>（二）政府采购支出情况</w:t>
      </w:r>
      <w:bookmarkEnd w:id="42"/>
    </w:p>
    <w:p w14:paraId="3671A2CA">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2024年度，市政务管理局（本级）政府采购支出总额0.84万元，其中：政府采购货物支出0万元、政府采购工程支出0万元、政府采购服务支出0.84万元。主要用于</w:t>
      </w:r>
      <w:r>
        <w:rPr>
          <w:rFonts w:hint="eastAsia" w:ascii="仿宋_GB2312" w:hAnsi="仿宋_GB2312" w:eastAsia="仿宋_GB2312" w:cs="仿宋_GB2312"/>
          <w:sz w:val="32"/>
          <w:szCs w:val="32"/>
          <w:lang w:val="en-US" w:eastAsia="zh-CN"/>
        </w:rPr>
        <w:t>公务用车采购燃油费及购买保险</w:t>
      </w:r>
      <w:r>
        <w:rPr>
          <w:rFonts w:hint="eastAsia" w:ascii="仿宋_GB2312" w:hAnsi="仿宋_GB2312" w:eastAsia="仿宋_GB2312" w:cs="仿宋_GB2312"/>
          <w:sz w:val="32"/>
          <w:szCs w:val="32"/>
        </w:rPr>
        <w:t>。授予中小企业合同金额0.62万元，占政府采购支出总额的7</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%，其中：授予小微企业合同金额0万元，占政府采购支出总额的0%。</w:t>
      </w:r>
    </w:p>
    <w:p w14:paraId="3AFE1741">
      <w:pPr>
        <w:spacing w:line="600" w:lineRule="exact"/>
        <w:ind w:firstLine="643" w:firstLineChars="200"/>
        <w:outlineLvl w:val="2"/>
        <w:rPr>
          <w:rFonts w:eastAsia="楷体_GB2312" w:cs="楷体_GB2312"/>
          <w:b/>
          <w:sz w:val="32"/>
          <w:szCs w:val="32"/>
        </w:rPr>
      </w:pPr>
      <w:bookmarkStart w:id="43" w:name="_Toc15377224"/>
      <w:r>
        <w:rPr>
          <w:rFonts w:hint="eastAsia" w:eastAsia="楷体_GB2312" w:cs="楷体_GB2312"/>
          <w:b/>
          <w:sz w:val="32"/>
          <w:szCs w:val="32"/>
        </w:rPr>
        <w:t>（三）国有资产占有使用情况</w:t>
      </w:r>
      <w:bookmarkEnd w:id="43"/>
    </w:p>
    <w:p w14:paraId="127133B0">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截至2024年12月31日，市政务管理局（本级）共有车辆1辆，其中：主要负责人用车0辆、机要通信用车0辆、应急保障用车0辆、其他用车1辆，其他用车主要是用于</w:t>
      </w:r>
      <w:r>
        <w:rPr>
          <w:rFonts w:hint="eastAsia" w:ascii="仿宋_GB2312" w:eastAsia="仿宋_GB2312"/>
          <w:color w:val="auto"/>
          <w:sz w:val="32"/>
          <w:szCs w:val="32"/>
          <w:highlight w:val="none"/>
          <w:lang w:val="en-US" w:eastAsia="zh-CN"/>
        </w:rPr>
        <w:t>政务服务等执行公务</w:t>
      </w:r>
      <w:r>
        <w:rPr>
          <w:rFonts w:hint="eastAsia" w:ascii="仿宋_GB2312" w:hAnsi="仿宋_GB2312" w:eastAsia="仿宋_GB2312" w:cs="仿宋_GB2312"/>
          <w:sz w:val="32"/>
          <w:szCs w:val="32"/>
        </w:rPr>
        <w:t>。单价100万元（含）以上设备（不含车辆）0台（套）</w:t>
      </w:r>
      <w:r>
        <w:rPr>
          <w:rFonts w:hint="eastAsia" w:eastAsia="仿宋_GB2312" w:cs="仿宋_GB2312"/>
          <w:sz w:val="32"/>
          <w:szCs w:val="32"/>
        </w:rPr>
        <w:t>。</w:t>
      </w:r>
    </w:p>
    <w:p w14:paraId="59D70C25">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（四）预算绩效管理情况</w:t>
      </w:r>
    </w:p>
    <w:p w14:paraId="7D98EB32">
      <w:pPr>
        <w:spacing w:line="600" w:lineRule="exact"/>
        <w:ind w:firstLine="640"/>
        <w:rPr>
          <w:rFonts w:eastAsia="仿宋_GB2312" w:cs="仿宋_GB2312"/>
          <w:sz w:val="32"/>
          <w:szCs w:val="32"/>
        </w:rPr>
      </w:pPr>
      <w:r>
        <w:rPr>
          <w:rFonts w:hint="eastAsia" w:eastAsia="仿宋_GB2312" w:cs="仿宋_GB2312"/>
          <w:sz w:val="32"/>
          <w:szCs w:val="32"/>
        </w:rPr>
        <w:t>根据预算绩效管理要求，</w:t>
      </w:r>
      <w:r>
        <w:rPr>
          <w:rFonts w:hint="eastAsia" w:ascii="仿宋_GB2312" w:hAnsi="仿宋_GB2312" w:eastAsia="仿宋_GB2312" w:cs="仿宋_GB2312"/>
          <w:sz w:val="32"/>
          <w:szCs w:val="32"/>
        </w:rPr>
        <w:t>市政务管理局</w:t>
      </w:r>
      <w:r>
        <w:rPr>
          <w:rFonts w:hint="eastAsia" w:eastAsia="仿宋_GB2312" w:cs="仿宋_GB2312"/>
          <w:sz w:val="32"/>
          <w:szCs w:val="32"/>
        </w:rPr>
        <w:t>在2024年度预算编制阶段，组织对</w:t>
      </w:r>
      <w:r>
        <w:rPr>
          <w:rFonts w:hint="eastAsia" w:ascii="仿宋_GB2312" w:hAnsi="Times New Roman" w:eastAsia="仿宋_GB2312" w:cs="Times New Roman"/>
          <w:color w:val="auto"/>
          <w:sz w:val="32"/>
          <w:szCs w:val="32"/>
          <w:highlight w:val="none"/>
          <w:lang w:val="en-US" w:eastAsia="zh-CN"/>
        </w:rPr>
        <w:t>大厅运行维护</w:t>
      </w:r>
      <w:r>
        <w:rPr>
          <w:rFonts w:hint="eastAsia" w:ascii="仿宋_GB2312" w:hAnsi="Times New Roman" w:eastAsia="仿宋_GB2312" w:cs="Times New Roman"/>
          <w:color w:val="auto"/>
          <w:sz w:val="32"/>
          <w:szCs w:val="32"/>
          <w:highlight w:val="none"/>
          <w:lang w:eastAsia="zh-CN"/>
        </w:rPr>
        <w:t>项目</w:t>
      </w:r>
      <w:r>
        <w:rPr>
          <w:rFonts w:hint="eastAsia" w:eastAsia="仿宋_GB2312" w:cs="仿宋_GB2312"/>
          <w:sz w:val="32"/>
          <w:szCs w:val="32"/>
        </w:rPr>
        <w:t>等</w:t>
      </w:r>
      <w:r>
        <w:rPr>
          <w:rFonts w:hint="eastAsia" w:eastAsia="仿宋_GB2312" w:cs="仿宋_GB2312"/>
          <w:sz w:val="32"/>
          <w:szCs w:val="32"/>
          <w:lang w:val="en-US" w:eastAsia="zh-CN"/>
        </w:rPr>
        <w:t>9</w:t>
      </w:r>
      <w:r>
        <w:rPr>
          <w:rFonts w:hint="eastAsia" w:eastAsia="仿宋_GB2312" w:cs="仿宋_GB2312"/>
          <w:sz w:val="32"/>
          <w:szCs w:val="32"/>
        </w:rPr>
        <w:t>个项目开展了预算事前绩效评估，对</w:t>
      </w:r>
      <w:r>
        <w:rPr>
          <w:rFonts w:hint="eastAsia" w:eastAsia="仿宋_GB2312" w:cs="仿宋_GB2312"/>
          <w:sz w:val="32"/>
          <w:szCs w:val="32"/>
          <w:lang w:val="en-US" w:eastAsia="zh-CN"/>
        </w:rPr>
        <w:t>9</w:t>
      </w:r>
      <w:r>
        <w:rPr>
          <w:rFonts w:hint="eastAsia" w:eastAsia="仿宋_GB2312" w:cs="仿宋_GB2312"/>
          <w:sz w:val="32"/>
          <w:szCs w:val="32"/>
        </w:rPr>
        <w:t>个项目编制了绩效目标，预算执行过程中，选取</w:t>
      </w:r>
      <w:r>
        <w:rPr>
          <w:rFonts w:hint="eastAsia" w:eastAsia="仿宋_GB2312" w:cs="仿宋_GB2312"/>
          <w:sz w:val="32"/>
          <w:szCs w:val="32"/>
          <w:lang w:val="en-US" w:eastAsia="zh-CN"/>
        </w:rPr>
        <w:t>9</w:t>
      </w:r>
      <w:r>
        <w:rPr>
          <w:rFonts w:hint="eastAsia" w:eastAsia="仿宋_GB2312" w:cs="仿宋_GB2312"/>
          <w:sz w:val="32"/>
          <w:szCs w:val="32"/>
        </w:rPr>
        <w:t>个项目开展绩效监控。</w:t>
      </w:r>
    </w:p>
    <w:p w14:paraId="236AA673">
      <w:pPr>
        <w:spacing w:line="600" w:lineRule="exact"/>
        <w:ind w:firstLine="640"/>
        <w:rPr>
          <w:rFonts w:eastAsia="仿宋_GB2312" w:cs="仿宋_GB2312"/>
          <w:sz w:val="32"/>
          <w:szCs w:val="32"/>
        </w:rPr>
      </w:pPr>
    </w:p>
    <w:p w14:paraId="6384F98A">
      <w:pPr>
        <w:pStyle w:val="2"/>
        <w:rPr>
          <w:rFonts w:eastAsia="仿宋_GB2312" w:cs="仿宋_GB2312"/>
          <w:sz w:val="32"/>
          <w:szCs w:val="32"/>
        </w:rPr>
      </w:pPr>
    </w:p>
    <w:p w14:paraId="552A0741">
      <w:pPr>
        <w:pStyle w:val="2"/>
        <w:rPr>
          <w:rFonts w:eastAsia="仿宋_GB2312" w:cs="仿宋_GB2312"/>
          <w:sz w:val="32"/>
          <w:szCs w:val="32"/>
        </w:rPr>
      </w:pPr>
    </w:p>
    <w:p w14:paraId="4ECFE22F">
      <w:pPr>
        <w:pStyle w:val="2"/>
        <w:rPr>
          <w:rFonts w:eastAsia="仿宋_GB2312" w:cs="仿宋_GB2312"/>
          <w:sz w:val="32"/>
          <w:szCs w:val="32"/>
        </w:rPr>
      </w:pPr>
    </w:p>
    <w:p w14:paraId="6DC8B702">
      <w:pPr>
        <w:pStyle w:val="2"/>
        <w:rPr>
          <w:rFonts w:eastAsia="仿宋_GB2312" w:cs="仿宋_GB2312"/>
          <w:sz w:val="32"/>
          <w:szCs w:val="32"/>
        </w:rPr>
      </w:pPr>
    </w:p>
    <w:p w14:paraId="0EA6D401">
      <w:pPr>
        <w:pStyle w:val="2"/>
        <w:rPr>
          <w:rFonts w:eastAsia="仿宋_GB2312" w:cs="仿宋_GB2312"/>
          <w:sz w:val="32"/>
          <w:szCs w:val="32"/>
        </w:rPr>
      </w:pPr>
    </w:p>
    <w:p w14:paraId="7F12A944">
      <w:pPr>
        <w:pStyle w:val="2"/>
        <w:rPr>
          <w:rFonts w:eastAsia="仿宋_GB2312" w:cs="仿宋_GB2312"/>
          <w:sz w:val="32"/>
          <w:szCs w:val="32"/>
        </w:rPr>
      </w:pPr>
    </w:p>
    <w:p w14:paraId="584EF163">
      <w:pPr>
        <w:spacing w:line="600" w:lineRule="exact"/>
        <w:rPr>
          <w:rFonts w:eastAsia="仿宋_GB2312" w:cs="仿宋_GB2312"/>
          <w:sz w:val="32"/>
          <w:szCs w:val="32"/>
        </w:rPr>
      </w:pPr>
    </w:p>
    <w:p w14:paraId="4DA54069">
      <w:pPr>
        <w:pStyle w:val="2"/>
        <w:rPr>
          <w:rFonts w:eastAsia="仿宋_GB2312" w:cs="仿宋_GB2312"/>
          <w:sz w:val="32"/>
          <w:szCs w:val="32"/>
        </w:rPr>
      </w:pPr>
    </w:p>
    <w:p w14:paraId="585200C1">
      <w:pPr>
        <w:pStyle w:val="2"/>
        <w:rPr>
          <w:rFonts w:eastAsia="仿宋_GB2312" w:cs="仿宋_GB2312"/>
          <w:sz w:val="32"/>
          <w:szCs w:val="32"/>
        </w:rPr>
      </w:pPr>
    </w:p>
    <w:p w14:paraId="2ADC99AF">
      <w:pPr>
        <w:pStyle w:val="2"/>
        <w:rPr>
          <w:rFonts w:eastAsia="仿宋_GB2312" w:cs="仿宋_GB2312"/>
          <w:sz w:val="32"/>
          <w:szCs w:val="32"/>
        </w:rPr>
      </w:pPr>
    </w:p>
    <w:p w14:paraId="3BB055C8">
      <w:pPr>
        <w:pStyle w:val="2"/>
        <w:rPr>
          <w:rFonts w:eastAsia="仿宋_GB2312" w:cs="仿宋_GB2312"/>
          <w:sz w:val="32"/>
          <w:szCs w:val="32"/>
        </w:rPr>
      </w:pPr>
    </w:p>
    <w:p w14:paraId="55E33855">
      <w:pPr>
        <w:pStyle w:val="2"/>
        <w:rPr>
          <w:rFonts w:eastAsia="仿宋_GB2312" w:cs="仿宋_GB2312"/>
          <w:sz w:val="32"/>
          <w:szCs w:val="32"/>
        </w:rPr>
      </w:pPr>
    </w:p>
    <w:p w14:paraId="4EC0BAC5">
      <w:pPr>
        <w:pStyle w:val="2"/>
        <w:rPr>
          <w:rFonts w:eastAsia="仿宋_GB2312" w:cs="仿宋_GB2312"/>
          <w:sz w:val="32"/>
          <w:szCs w:val="32"/>
        </w:rPr>
      </w:pPr>
    </w:p>
    <w:p w14:paraId="7ED8510C">
      <w:pPr>
        <w:spacing w:line="600" w:lineRule="exact"/>
        <w:jc w:val="center"/>
        <w:outlineLvl w:val="0"/>
        <w:rPr>
          <w:rFonts w:eastAsia="黑体"/>
          <w:sz w:val="44"/>
          <w:szCs w:val="44"/>
        </w:rPr>
      </w:pPr>
      <w:bookmarkStart w:id="44" w:name="_Toc15396613"/>
      <w:bookmarkStart w:id="45" w:name="_Toc15377225"/>
      <w:r>
        <w:rPr>
          <w:rFonts w:hint="eastAsia" w:eastAsia="黑体"/>
          <w:sz w:val="44"/>
          <w:szCs w:val="44"/>
        </w:rPr>
        <w:t>第三部分名词解释</w:t>
      </w:r>
      <w:bookmarkEnd w:id="44"/>
      <w:bookmarkEnd w:id="45"/>
    </w:p>
    <w:p w14:paraId="0CBEBA92">
      <w:pPr>
        <w:spacing w:line="600" w:lineRule="exact"/>
        <w:jc w:val="left"/>
        <w:rPr>
          <w:b/>
          <w:sz w:val="44"/>
          <w:szCs w:val="44"/>
        </w:rPr>
      </w:pPr>
    </w:p>
    <w:p w14:paraId="46FC6336">
      <w:pPr>
        <w:pStyle w:val="26"/>
        <w:spacing w:line="560" w:lineRule="exact"/>
        <w:ind w:firstLine="640" w:firstLineChars="200"/>
        <w:rPr>
          <w:rFonts w:ascii="仿宋_GB2312" w:eastAsia="仿宋_GB2312"/>
          <w:color w:val="auto"/>
          <w:sz w:val="32"/>
          <w:szCs w:val="32"/>
          <w:highlight w:val="none"/>
        </w:rPr>
      </w:pPr>
      <w:bookmarkStart w:id="46" w:name="_Toc15377226"/>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7D9B1345">
      <w:pPr>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一般公共服务</w:t>
      </w:r>
      <w:r>
        <w:rPr>
          <w:rFonts w:hint="eastAsia" w:ascii="仿宋_GB2312" w:eastAsia="仿宋_GB2312"/>
          <w:color w:val="000000"/>
          <w:sz w:val="32"/>
          <w:szCs w:val="32"/>
          <w:lang w:val="en-US" w:eastAsia="zh-CN"/>
        </w:rPr>
        <w:t>201</w:t>
      </w:r>
      <w:r>
        <w:rPr>
          <w:rFonts w:hint="eastAsia" w:ascii="仿宋_GB2312" w:eastAsia="仿宋_GB2312"/>
          <w:color w:val="000000"/>
          <w:sz w:val="32"/>
          <w:szCs w:val="32"/>
        </w:rPr>
        <w:t>（类）03（款）01（项）：指行政单位（包括实行公务员管理的事业单位）的基本支出。</w:t>
      </w:r>
    </w:p>
    <w:p w14:paraId="518460A9">
      <w:pPr>
        <w:ind w:firstLine="640" w:firstLineChars="200"/>
        <w:rPr>
          <w:rFonts w:ascii="仿宋_GB2312" w:eastAsia="仿宋_GB2312"/>
          <w:color w:val="000000"/>
          <w:sz w:val="32"/>
          <w:szCs w:val="32"/>
        </w:rPr>
      </w:pPr>
      <w:r>
        <w:rPr>
          <w:rFonts w:hint="eastAsia" w:ascii="仿宋_GB2312" w:eastAsia="仿宋_GB2312"/>
          <w:color w:val="000000"/>
          <w:sz w:val="32"/>
          <w:szCs w:val="32"/>
        </w:rPr>
        <w:t>3.一般公共服务</w:t>
      </w:r>
      <w:r>
        <w:rPr>
          <w:rFonts w:hint="eastAsia" w:ascii="仿宋_GB2312" w:eastAsia="仿宋_GB2312"/>
          <w:color w:val="000000"/>
          <w:sz w:val="32"/>
          <w:szCs w:val="32"/>
          <w:lang w:val="en-US" w:eastAsia="zh-CN"/>
        </w:rPr>
        <w:t>201</w:t>
      </w:r>
      <w:r>
        <w:rPr>
          <w:rFonts w:hint="eastAsia" w:ascii="仿宋_GB2312" w:eastAsia="仿宋_GB2312"/>
          <w:color w:val="000000"/>
          <w:sz w:val="32"/>
          <w:szCs w:val="32"/>
        </w:rPr>
        <w:t>（类）03（款）02（项）：指行政单位（包括实行公务员管理的事业单位）提供未单独设置项级科目的其他项目支出。</w:t>
      </w:r>
    </w:p>
    <w:p w14:paraId="21EFB421">
      <w:pPr>
        <w:ind w:firstLine="640" w:firstLineChars="200"/>
        <w:rPr>
          <w:rFonts w:ascii="仿宋_GB2312" w:eastAsia="仿宋_GB2312"/>
          <w:color w:val="000000"/>
          <w:sz w:val="32"/>
          <w:szCs w:val="32"/>
        </w:rPr>
      </w:pPr>
      <w:r>
        <w:rPr>
          <w:rFonts w:hint="eastAsia" w:ascii="仿宋_GB2312" w:eastAsia="仿宋_GB2312"/>
          <w:color w:val="000000"/>
          <w:sz w:val="32"/>
          <w:szCs w:val="32"/>
        </w:rPr>
        <w:t>4.一般公共服务</w:t>
      </w:r>
      <w:r>
        <w:rPr>
          <w:rFonts w:hint="eastAsia" w:ascii="仿宋_GB2312" w:eastAsia="仿宋_GB2312"/>
          <w:color w:val="000000"/>
          <w:sz w:val="32"/>
          <w:szCs w:val="32"/>
          <w:lang w:val="en-US" w:eastAsia="zh-CN"/>
        </w:rPr>
        <w:t>201</w:t>
      </w:r>
      <w:r>
        <w:rPr>
          <w:rFonts w:hint="eastAsia" w:ascii="仿宋_GB2312" w:eastAsia="仿宋_GB2312"/>
          <w:color w:val="000000"/>
          <w:sz w:val="32"/>
          <w:szCs w:val="32"/>
        </w:rPr>
        <w:t>（类）03（款）50（项）：指事业单位的基本支出，不包括行政单位（包括实行公务员管理的事业单位）后勤服务中心、医务室等附属事业单位。</w:t>
      </w:r>
    </w:p>
    <w:p w14:paraId="0A7F4165">
      <w:pPr>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5.卫生健康</w:t>
      </w:r>
      <w:r>
        <w:rPr>
          <w:rFonts w:hint="eastAsia" w:ascii="仿宋_GB2312" w:eastAsia="仿宋_GB2312" w:cs="Times New Roman"/>
          <w:color w:val="000000"/>
          <w:sz w:val="32"/>
          <w:szCs w:val="32"/>
          <w:lang w:val="en-US" w:eastAsia="zh-CN"/>
        </w:rPr>
        <w:t>210</w:t>
      </w:r>
      <w:r>
        <w:rPr>
          <w:rFonts w:hint="eastAsia" w:ascii="仿宋_GB2312" w:eastAsia="仿宋_GB2312" w:cs="Times New Roman"/>
          <w:color w:val="000000"/>
          <w:sz w:val="32"/>
          <w:szCs w:val="32"/>
        </w:rPr>
        <w:t>（类）</w:t>
      </w:r>
      <w:r>
        <w:rPr>
          <w:rFonts w:hint="eastAsia" w:ascii="仿宋_GB2312" w:eastAsia="仿宋_GB2312" w:cs="Times New Roman"/>
          <w:color w:val="000000"/>
          <w:sz w:val="32"/>
          <w:szCs w:val="32"/>
          <w:lang w:val="en-US" w:eastAsia="zh-CN"/>
        </w:rPr>
        <w:t>11</w:t>
      </w:r>
      <w:r>
        <w:rPr>
          <w:rFonts w:hint="eastAsia" w:ascii="仿宋_GB2312" w:eastAsia="仿宋_GB2312" w:cs="Times New Roman"/>
          <w:color w:val="000000"/>
          <w:sz w:val="32"/>
          <w:szCs w:val="32"/>
        </w:rPr>
        <w:t>（款）</w:t>
      </w:r>
      <w:r>
        <w:rPr>
          <w:rFonts w:hint="eastAsia" w:ascii="仿宋_GB2312" w:eastAsia="仿宋_GB2312" w:cs="Times New Roman"/>
          <w:color w:val="000000"/>
          <w:sz w:val="32"/>
          <w:szCs w:val="32"/>
          <w:lang w:val="en-US" w:eastAsia="zh-CN"/>
        </w:rPr>
        <w:t>01</w:t>
      </w:r>
      <w:r>
        <w:rPr>
          <w:rFonts w:hint="eastAsia" w:ascii="仿宋_GB2312" w:eastAsia="仿宋_GB2312" w:cs="Times New Roman"/>
          <w:color w:val="000000"/>
          <w:sz w:val="32"/>
          <w:szCs w:val="32"/>
        </w:rPr>
        <w:t>（项）：指行政单位医疗</w:t>
      </w:r>
      <w:r>
        <w:rPr>
          <w:rFonts w:hint="eastAsia" w:ascii="仿宋_GB2312" w:eastAsia="仿宋_GB2312" w:cs="Times New Roman"/>
          <w:color w:val="000000"/>
          <w:sz w:val="32"/>
          <w:szCs w:val="32"/>
          <w:lang w:val="en-US" w:eastAsia="zh-CN"/>
        </w:rPr>
        <w:t>支出</w:t>
      </w:r>
      <w:r>
        <w:rPr>
          <w:rFonts w:hint="eastAsia" w:ascii="仿宋_GB2312" w:eastAsia="仿宋_GB2312" w:cs="Times New Roman"/>
          <w:color w:val="000000"/>
          <w:sz w:val="32"/>
          <w:szCs w:val="32"/>
        </w:rPr>
        <w:t>。</w:t>
      </w:r>
    </w:p>
    <w:p w14:paraId="7DC29410">
      <w:pPr>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6. 卫生健康</w:t>
      </w:r>
      <w:r>
        <w:rPr>
          <w:rFonts w:hint="eastAsia" w:ascii="仿宋_GB2312" w:eastAsia="仿宋_GB2312" w:cs="Times New Roman"/>
          <w:color w:val="000000"/>
          <w:sz w:val="32"/>
          <w:szCs w:val="32"/>
          <w:lang w:val="en-US" w:eastAsia="zh-CN"/>
        </w:rPr>
        <w:t>210</w:t>
      </w:r>
      <w:r>
        <w:rPr>
          <w:rFonts w:hint="eastAsia" w:ascii="仿宋_GB2312" w:eastAsia="仿宋_GB2312" w:cs="Times New Roman"/>
          <w:color w:val="000000"/>
          <w:sz w:val="32"/>
          <w:szCs w:val="32"/>
        </w:rPr>
        <w:t>（类）</w:t>
      </w:r>
      <w:r>
        <w:rPr>
          <w:rFonts w:hint="eastAsia" w:ascii="仿宋_GB2312" w:eastAsia="仿宋_GB2312" w:cs="Times New Roman"/>
          <w:color w:val="000000"/>
          <w:sz w:val="32"/>
          <w:szCs w:val="32"/>
          <w:lang w:val="en-US" w:eastAsia="zh-CN"/>
        </w:rPr>
        <w:t>11</w:t>
      </w:r>
      <w:r>
        <w:rPr>
          <w:rFonts w:hint="eastAsia" w:ascii="仿宋_GB2312" w:eastAsia="仿宋_GB2312" w:cs="Times New Roman"/>
          <w:color w:val="000000"/>
          <w:sz w:val="32"/>
          <w:szCs w:val="32"/>
        </w:rPr>
        <w:t>（款）</w:t>
      </w:r>
      <w:r>
        <w:rPr>
          <w:rFonts w:hint="eastAsia" w:ascii="仿宋_GB2312" w:eastAsia="仿宋_GB2312" w:cs="Times New Roman"/>
          <w:color w:val="000000"/>
          <w:sz w:val="32"/>
          <w:szCs w:val="32"/>
          <w:lang w:val="en-US" w:eastAsia="zh-CN"/>
        </w:rPr>
        <w:t>02</w:t>
      </w:r>
      <w:r>
        <w:rPr>
          <w:rFonts w:hint="eastAsia" w:ascii="仿宋_GB2312" w:eastAsia="仿宋_GB2312" w:cs="Times New Roman"/>
          <w:color w:val="000000"/>
          <w:sz w:val="32"/>
          <w:szCs w:val="32"/>
        </w:rPr>
        <w:t>（项）：指</w:t>
      </w:r>
      <w:r>
        <w:rPr>
          <w:rFonts w:hint="eastAsia" w:ascii="仿宋_GB2312" w:eastAsia="仿宋_GB2312" w:cs="Times New Roman"/>
          <w:color w:val="000000"/>
          <w:sz w:val="32"/>
          <w:szCs w:val="32"/>
          <w:lang w:val="en-US" w:eastAsia="zh-CN"/>
        </w:rPr>
        <w:t>事业</w:t>
      </w:r>
      <w:r>
        <w:rPr>
          <w:rFonts w:hint="eastAsia" w:ascii="仿宋_GB2312" w:eastAsia="仿宋_GB2312" w:cs="Times New Roman"/>
          <w:color w:val="000000"/>
          <w:sz w:val="32"/>
          <w:szCs w:val="32"/>
        </w:rPr>
        <w:t>单位医疗</w:t>
      </w:r>
      <w:r>
        <w:rPr>
          <w:rFonts w:hint="eastAsia" w:ascii="仿宋_GB2312" w:eastAsia="仿宋_GB2312" w:cs="Times New Roman"/>
          <w:color w:val="000000"/>
          <w:sz w:val="32"/>
          <w:szCs w:val="32"/>
          <w:lang w:val="en-US" w:eastAsia="zh-CN"/>
        </w:rPr>
        <w:t>支出</w:t>
      </w:r>
      <w:r>
        <w:rPr>
          <w:rFonts w:hint="eastAsia" w:ascii="仿宋_GB2312" w:eastAsia="仿宋_GB2312" w:cs="Times New Roman"/>
          <w:color w:val="000000"/>
          <w:sz w:val="32"/>
          <w:szCs w:val="32"/>
        </w:rPr>
        <w:t>。</w:t>
      </w:r>
    </w:p>
    <w:p w14:paraId="6719A7EF">
      <w:pPr>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rPr>
        <w:t>7. 卫生健康</w:t>
      </w:r>
      <w:r>
        <w:rPr>
          <w:rFonts w:hint="eastAsia" w:ascii="仿宋_GB2312" w:eastAsia="仿宋_GB2312" w:cs="Times New Roman"/>
          <w:color w:val="000000"/>
          <w:sz w:val="32"/>
          <w:szCs w:val="32"/>
          <w:lang w:val="en-US" w:eastAsia="zh-CN"/>
        </w:rPr>
        <w:t>210</w:t>
      </w:r>
      <w:r>
        <w:rPr>
          <w:rFonts w:hint="eastAsia" w:ascii="仿宋_GB2312" w:eastAsia="仿宋_GB2312" w:cs="Times New Roman"/>
          <w:color w:val="000000"/>
          <w:sz w:val="32"/>
          <w:szCs w:val="32"/>
        </w:rPr>
        <w:t>（类）</w:t>
      </w:r>
      <w:r>
        <w:rPr>
          <w:rFonts w:hint="eastAsia" w:ascii="仿宋_GB2312" w:eastAsia="仿宋_GB2312" w:cs="Times New Roman"/>
          <w:color w:val="000000"/>
          <w:sz w:val="32"/>
          <w:szCs w:val="32"/>
          <w:lang w:val="en-US" w:eastAsia="zh-CN"/>
        </w:rPr>
        <w:t>11</w:t>
      </w:r>
      <w:r>
        <w:rPr>
          <w:rFonts w:hint="eastAsia" w:ascii="仿宋_GB2312" w:eastAsia="仿宋_GB2312" w:cs="Times New Roman"/>
          <w:color w:val="000000"/>
          <w:sz w:val="32"/>
          <w:szCs w:val="32"/>
        </w:rPr>
        <w:t>（款）</w:t>
      </w:r>
      <w:r>
        <w:rPr>
          <w:rFonts w:hint="eastAsia" w:ascii="仿宋_GB2312" w:eastAsia="仿宋_GB2312" w:cs="Times New Roman"/>
          <w:color w:val="000000"/>
          <w:sz w:val="32"/>
          <w:szCs w:val="32"/>
          <w:lang w:val="en-US" w:eastAsia="zh-CN"/>
        </w:rPr>
        <w:t>03</w:t>
      </w:r>
      <w:r>
        <w:rPr>
          <w:rFonts w:hint="eastAsia" w:ascii="仿宋_GB2312" w:eastAsia="仿宋_GB2312" w:cs="Times New Roman"/>
          <w:color w:val="000000"/>
          <w:sz w:val="32"/>
          <w:szCs w:val="32"/>
        </w:rPr>
        <w:t>（项）：指公务员医疗补助</w:t>
      </w:r>
      <w:r>
        <w:rPr>
          <w:rFonts w:hint="eastAsia" w:ascii="仿宋_GB2312" w:eastAsia="仿宋_GB2312" w:cs="Times New Roman"/>
          <w:color w:val="000000"/>
          <w:sz w:val="32"/>
          <w:szCs w:val="32"/>
          <w:lang w:val="en-US" w:eastAsia="zh-CN"/>
        </w:rPr>
        <w:t>支出</w:t>
      </w:r>
      <w:r>
        <w:rPr>
          <w:rFonts w:hint="eastAsia" w:ascii="仿宋_GB2312" w:eastAsia="仿宋_GB2312" w:cs="Times New Roman"/>
          <w:color w:val="000000"/>
          <w:sz w:val="32"/>
          <w:szCs w:val="32"/>
        </w:rPr>
        <w:t>。</w:t>
      </w:r>
    </w:p>
    <w:p w14:paraId="7B72173A">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社会保障和就业</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（类）05（款）01（项）：指实行归口管理的行政单位（包括实行公务员管理的事业单位）开支的离退休经费。</w:t>
      </w:r>
    </w:p>
    <w:p w14:paraId="76C17052">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社会保障和就业</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（类）05（款）05（项）：指机关事业单位实施养老保险制度由单位缴纳的基本养老保险费支出。</w:t>
      </w:r>
    </w:p>
    <w:p w14:paraId="289C6237">
      <w:pPr>
        <w:pStyle w:val="2"/>
        <w:ind w:firstLine="640" w:firstLineChars="200"/>
        <w:rPr>
          <w:rFonts w:hint="default" w:eastAsia="仿宋_GB2312"/>
          <w:lang w:val="en-US" w:eastAsia="zh-CN"/>
        </w:rPr>
      </w:pPr>
      <w:r>
        <w:rPr>
          <w:rFonts w:hint="eastAsia"/>
          <w:color w:val="000000"/>
          <w:sz w:val="32"/>
          <w:szCs w:val="32"/>
          <w:lang w:val="en-US" w:eastAsia="zh-CN"/>
        </w:rPr>
        <w:t>10.社会福利</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（类）</w:t>
      </w:r>
      <w:r>
        <w:rPr>
          <w:rFonts w:hint="eastAsia"/>
          <w:color w:val="000000"/>
          <w:sz w:val="32"/>
          <w:szCs w:val="32"/>
          <w:lang w:val="en-US" w:eastAsia="zh-CN"/>
        </w:rPr>
        <w:t>10</w:t>
      </w:r>
      <w:r>
        <w:rPr>
          <w:rFonts w:hint="eastAsia" w:ascii="仿宋_GB2312" w:eastAsia="仿宋_GB2312"/>
          <w:color w:val="000000"/>
          <w:sz w:val="32"/>
          <w:szCs w:val="32"/>
        </w:rPr>
        <w:t>（款）0</w:t>
      </w:r>
      <w:r>
        <w:rPr>
          <w:rFonts w:hint="eastAsia"/>
          <w:color w:val="000000"/>
          <w:sz w:val="32"/>
          <w:szCs w:val="32"/>
          <w:lang w:val="en-US" w:eastAsia="zh-CN"/>
        </w:rPr>
        <w:t>1</w:t>
      </w:r>
      <w:r>
        <w:rPr>
          <w:rFonts w:hint="eastAsia" w:ascii="仿宋_GB2312" w:eastAsia="仿宋_GB2312"/>
          <w:color w:val="000000"/>
          <w:sz w:val="32"/>
          <w:szCs w:val="32"/>
        </w:rPr>
        <w:t>（项）</w:t>
      </w:r>
      <w:r>
        <w:rPr>
          <w:rFonts w:hint="eastAsia"/>
          <w:color w:val="000000"/>
          <w:sz w:val="32"/>
          <w:szCs w:val="32"/>
          <w:lang w:eastAsia="zh-CN"/>
        </w:rPr>
        <w:t>：</w:t>
      </w:r>
      <w:r>
        <w:rPr>
          <w:rFonts w:hint="eastAsia"/>
          <w:color w:val="000000"/>
          <w:sz w:val="32"/>
          <w:szCs w:val="32"/>
          <w:lang w:val="en-US" w:eastAsia="zh-CN"/>
        </w:rPr>
        <w:t>指对儿童提供福利服务方面的支出。</w:t>
      </w:r>
    </w:p>
    <w:p w14:paraId="313914D1">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rPr>
        <w:t xml:space="preserve"> 城乡社区支出</w:t>
      </w:r>
      <w:r>
        <w:rPr>
          <w:rFonts w:hint="eastAsia" w:ascii="仿宋_GB2312" w:eastAsia="仿宋_GB2312"/>
          <w:color w:val="000000"/>
          <w:sz w:val="32"/>
          <w:szCs w:val="32"/>
          <w:lang w:val="en-US" w:eastAsia="zh-CN"/>
        </w:rPr>
        <w:t>212</w:t>
      </w:r>
      <w:r>
        <w:rPr>
          <w:rFonts w:hint="eastAsia" w:ascii="仿宋_GB2312" w:eastAsia="仿宋_GB2312"/>
          <w:color w:val="000000"/>
          <w:sz w:val="32"/>
          <w:szCs w:val="32"/>
        </w:rPr>
        <w:t>（类）03（款）99（项）</w:t>
      </w:r>
      <w:r>
        <w:rPr>
          <w:rFonts w:ascii="仿宋_GB2312" w:eastAsia="仿宋_GB2312"/>
          <w:color w:val="000000"/>
          <w:sz w:val="32"/>
          <w:szCs w:val="32"/>
        </w:rPr>
        <w:t>:</w:t>
      </w:r>
      <w:r>
        <w:rPr>
          <w:rFonts w:hint="eastAsia" w:ascii="仿宋_GB2312" w:eastAsia="仿宋_GB2312"/>
          <w:color w:val="000000"/>
          <w:sz w:val="32"/>
          <w:szCs w:val="32"/>
        </w:rPr>
        <w:t>指其他城乡社区公共设施支出</w:t>
      </w:r>
      <w:r>
        <w:rPr>
          <w:rFonts w:hint="eastAsia" w:ascii="仿宋_GB2312" w:eastAsia="仿宋_GB2312"/>
          <w:color w:val="000000"/>
          <w:sz w:val="32"/>
          <w:szCs w:val="32"/>
          <w:lang w:eastAsia="zh-CN"/>
        </w:rPr>
        <w:t>。</w:t>
      </w:r>
    </w:p>
    <w:p w14:paraId="7884E448">
      <w:pPr>
        <w:pStyle w:val="2"/>
        <w:ind w:firstLine="640" w:firstLineChars="200"/>
        <w:rPr>
          <w:rFonts w:hint="eastAsia"/>
          <w:color w:val="000000"/>
          <w:sz w:val="32"/>
          <w:szCs w:val="32"/>
          <w:lang w:val="en-US" w:eastAsia="zh-CN"/>
        </w:rPr>
      </w:pPr>
      <w:r>
        <w:rPr>
          <w:rFonts w:hint="eastAsia"/>
          <w:color w:val="000000"/>
          <w:sz w:val="32"/>
          <w:szCs w:val="32"/>
          <w:lang w:val="en-US" w:eastAsia="zh-CN"/>
        </w:rPr>
        <w:t>12.国有土地使用权出让收入安排212</w:t>
      </w:r>
      <w:r>
        <w:rPr>
          <w:rFonts w:hint="eastAsia" w:ascii="仿宋_GB2312" w:eastAsia="仿宋_GB2312"/>
          <w:color w:val="000000"/>
          <w:sz w:val="32"/>
          <w:szCs w:val="32"/>
        </w:rPr>
        <w:t>（类）0</w:t>
      </w:r>
      <w:r>
        <w:rPr>
          <w:rFonts w:hint="eastAsia"/>
          <w:color w:val="000000"/>
          <w:sz w:val="32"/>
          <w:szCs w:val="32"/>
          <w:lang w:val="en-US" w:eastAsia="zh-CN"/>
        </w:rPr>
        <w:t>8</w:t>
      </w:r>
      <w:r>
        <w:rPr>
          <w:rFonts w:hint="eastAsia" w:ascii="仿宋_GB2312" w:eastAsia="仿宋_GB2312"/>
          <w:color w:val="000000"/>
          <w:sz w:val="32"/>
          <w:szCs w:val="32"/>
        </w:rPr>
        <w:t>（款）</w:t>
      </w:r>
      <w:r>
        <w:rPr>
          <w:rFonts w:hint="eastAsia"/>
          <w:color w:val="000000"/>
          <w:sz w:val="32"/>
          <w:szCs w:val="32"/>
          <w:lang w:val="en-US" w:eastAsia="zh-CN"/>
        </w:rPr>
        <w:t>02</w:t>
      </w:r>
      <w:r>
        <w:rPr>
          <w:rFonts w:hint="eastAsia" w:ascii="仿宋_GB2312" w:eastAsia="仿宋_GB2312"/>
          <w:color w:val="000000"/>
          <w:sz w:val="32"/>
          <w:szCs w:val="32"/>
        </w:rPr>
        <w:t>（项）</w:t>
      </w:r>
      <w:r>
        <w:rPr>
          <w:rFonts w:hint="eastAsia"/>
          <w:color w:val="000000"/>
          <w:sz w:val="32"/>
          <w:szCs w:val="32"/>
          <w:lang w:eastAsia="zh-CN"/>
        </w:rPr>
        <w:t>：</w:t>
      </w:r>
      <w:r>
        <w:rPr>
          <w:rFonts w:hint="eastAsia"/>
          <w:color w:val="000000"/>
          <w:sz w:val="32"/>
          <w:szCs w:val="32"/>
          <w:lang w:val="en-US" w:eastAsia="zh-CN"/>
        </w:rPr>
        <w:t>指地方政府用于前期土地开发性支出及与前期土地开发相关的费用等支出。</w:t>
      </w:r>
    </w:p>
    <w:p w14:paraId="3CE8F19A">
      <w:pPr>
        <w:pStyle w:val="2"/>
        <w:ind w:firstLine="640" w:firstLineChars="200"/>
        <w:rPr>
          <w:rFonts w:hint="eastAsia"/>
          <w:color w:val="000000"/>
          <w:sz w:val="32"/>
          <w:szCs w:val="32"/>
          <w:lang w:val="en-US" w:eastAsia="zh-CN"/>
        </w:rPr>
      </w:pPr>
      <w:r>
        <w:rPr>
          <w:rFonts w:hint="eastAsia"/>
          <w:color w:val="000000"/>
          <w:sz w:val="32"/>
          <w:szCs w:val="32"/>
          <w:lang w:val="en-US" w:eastAsia="zh-CN"/>
        </w:rPr>
        <w:t>13.国有土地使用权出让收入安排212</w:t>
      </w:r>
      <w:r>
        <w:rPr>
          <w:rFonts w:hint="eastAsia" w:ascii="仿宋_GB2312" w:eastAsia="仿宋_GB2312"/>
          <w:color w:val="000000"/>
          <w:sz w:val="32"/>
          <w:szCs w:val="32"/>
        </w:rPr>
        <w:t>（类）0</w:t>
      </w:r>
      <w:r>
        <w:rPr>
          <w:rFonts w:hint="eastAsia"/>
          <w:color w:val="000000"/>
          <w:sz w:val="32"/>
          <w:szCs w:val="32"/>
          <w:lang w:val="en-US" w:eastAsia="zh-CN"/>
        </w:rPr>
        <w:t>8</w:t>
      </w:r>
      <w:r>
        <w:rPr>
          <w:rFonts w:hint="eastAsia" w:ascii="仿宋_GB2312" w:eastAsia="仿宋_GB2312"/>
          <w:color w:val="000000"/>
          <w:sz w:val="32"/>
          <w:szCs w:val="32"/>
        </w:rPr>
        <w:t>（款）</w:t>
      </w:r>
      <w:r>
        <w:rPr>
          <w:rFonts w:hint="eastAsia"/>
          <w:color w:val="000000"/>
          <w:sz w:val="32"/>
          <w:szCs w:val="32"/>
          <w:lang w:val="en-US" w:eastAsia="zh-CN"/>
        </w:rPr>
        <w:t>99</w:t>
      </w:r>
      <w:r>
        <w:rPr>
          <w:rFonts w:hint="eastAsia" w:ascii="仿宋_GB2312" w:eastAsia="仿宋_GB2312"/>
          <w:color w:val="000000"/>
          <w:sz w:val="32"/>
          <w:szCs w:val="32"/>
        </w:rPr>
        <w:t>（项）</w:t>
      </w:r>
      <w:r>
        <w:rPr>
          <w:rFonts w:hint="eastAsia"/>
          <w:color w:val="000000"/>
          <w:sz w:val="32"/>
          <w:szCs w:val="32"/>
          <w:lang w:eastAsia="zh-CN"/>
        </w:rPr>
        <w:t>：</w:t>
      </w:r>
      <w:r>
        <w:rPr>
          <w:rFonts w:hint="eastAsia"/>
          <w:color w:val="000000"/>
          <w:sz w:val="32"/>
          <w:szCs w:val="32"/>
          <w:lang w:val="en-US" w:eastAsia="zh-CN"/>
        </w:rPr>
        <w:t>指土地出让收入用于其他方面的支出。</w:t>
      </w:r>
    </w:p>
    <w:p w14:paraId="3800300E">
      <w:pPr>
        <w:pStyle w:val="2"/>
        <w:ind w:firstLine="640" w:firstLineChars="200"/>
        <w:rPr>
          <w:rFonts w:hint="default" w:eastAsia="仿宋_GB2312"/>
          <w:color w:val="000000"/>
          <w:sz w:val="32"/>
          <w:szCs w:val="32"/>
          <w:lang w:val="en-US" w:eastAsia="zh-CN"/>
        </w:rPr>
      </w:pPr>
      <w:r>
        <w:rPr>
          <w:rFonts w:hint="eastAsia"/>
          <w:color w:val="000000"/>
          <w:sz w:val="32"/>
          <w:szCs w:val="32"/>
          <w:lang w:val="en-US" w:eastAsia="zh-CN"/>
        </w:rPr>
        <w:t>14.农林水支出213</w:t>
      </w:r>
      <w:r>
        <w:rPr>
          <w:rFonts w:hint="eastAsia" w:ascii="仿宋_GB2312" w:eastAsia="仿宋_GB2312"/>
          <w:color w:val="000000"/>
          <w:sz w:val="32"/>
          <w:szCs w:val="32"/>
        </w:rPr>
        <w:t>（类）0</w:t>
      </w:r>
      <w:r>
        <w:rPr>
          <w:rFonts w:hint="eastAsia"/>
          <w:color w:val="000000"/>
          <w:sz w:val="32"/>
          <w:szCs w:val="32"/>
          <w:lang w:val="en-US" w:eastAsia="zh-CN"/>
        </w:rPr>
        <w:t>1</w:t>
      </w:r>
      <w:r>
        <w:rPr>
          <w:rFonts w:hint="eastAsia" w:ascii="仿宋_GB2312" w:eastAsia="仿宋_GB2312"/>
          <w:color w:val="000000"/>
          <w:sz w:val="32"/>
          <w:szCs w:val="32"/>
        </w:rPr>
        <w:t>（款）</w:t>
      </w:r>
      <w:r>
        <w:rPr>
          <w:rFonts w:hint="eastAsia"/>
          <w:color w:val="000000"/>
          <w:sz w:val="32"/>
          <w:szCs w:val="32"/>
          <w:lang w:val="en-US" w:eastAsia="zh-CN"/>
        </w:rPr>
        <w:t>26</w:t>
      </w:r>
      <w:r>
        <w:rPr>
          <w:rFonts w:hint="eastAsia" w:ascii="仿宋_GB2312" w:eastAsia="仿宋_GB2312"/>
          <w:color w:val="000000"/>
          <w:sz w:val="32"/>
          <w:szCs w:val="32"/>
        </w:rPr>
        <w:t>（项）</w:t>
      </w:r>
      <w:r>
        <w:rPr>
          <w:rFonts w:hint="eastAsia"/>
          <w:color w:val="000000"/>
          <w:sz w:val="32"/>
          <w:szCs w:val="32"/>
          <w:lang w:eastAsia="zh-CN"/>
        </w:rPr>
        <w:t>：</w:t>
      </w:r>
      <w:r>
        <w:rPr>
          <w:rFonts w:hint="eastAsia"/>
          <w:color w:val="000000"/>
          <w:sz w:val="32"/>
          <w:szCs w:val="32"/>
          <w:lang w:val="en-US" w:eastAsia="zh-CN"/>
        </w:rPr>
        <w:t>指用于农村社会事业发展的支出。</w:t>
      </w:r>
    </w:p>
    <w:p w14:paraId="36CF2A1A">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住房保障</w:t>
      </w:r>
      <w:r>
        <w:rPr>
          <w:rFonts w:hint="eastAsia" w:ascii="仿宋_GB2312" w:eastAsia="仿宋_GB2312"/>
          <w:color w:val="000000"/>
          <w:sz w:val="32"/>
          <w:szCs w:val="32"/>
          <w:lang w:val="en-US" w:eastAsia="zh-CN"/>
        </w:rPr>
        <w:t>221</w:t>
      </w:r>
      <w:r>
        <w:rPr>
          <w:rFonts w:hint="eastAsia" w:ascii="仿宋_GB2312" w:eastAsia="仿宋_GB2312"/>
          <w:color w:val="000000"/>
          <w:sz w:val="32"/>
          <w:szCs w:val="32"/>
        </w:rPr>
        <w:t>（类）02（款）01（项）：指住房公积金支出。</w:t>
      </w:r>
    </w:p>
    <w:p w14:paraId="733982FF">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1CED97E0">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30BB9FF6">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8</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3B7D43C">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9</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810EDD4">
      <w:pPr>
        <w:spacing w:line="578" w:lineRule="exact"/>
        <w:ind w:firstLine="640"/>
        <w:rPr>
          <w:rFonts w:eastAsia="仿宋_GB2312" w:cs="仿宋_GB2312"/>
          <w:kern w:val="0"/>
          <w:sz w:val="32"/>
          <w:szCs w:val="32"/>
        </w:rPr>
      </w:pPr>
      <w:r>
        <w:rPr>
          <w:rFonts w:hint="eastAsia" w:eastAsia="仿宋_GB2312" w:cs="仿宋_GB2312"/>
          <w:sz w:val="32"/>
          <w:szCs w:val="32"/>
        </w:rPr>
        <w:br w:type="page"/>
      </w:r>
      <w:bookmarkStart w:id="47" w:name="_Toc15396618"/>
    </w:p>
    <w:p w14:paraId="7CA9E56E">
      <w:pPr>
        <w:widowControl/>
        <w:numPr>
          <w:ilvl w:val="0"/>
          <w:numId w:val="3"/>
        </w:numPr>
        <w:jc w:val="center"/>
        <w:rPr>
          <w:rFonts w:hint="eastAsia" w:eastAsia="黑体"/>
          <w:sz w:val="44"/>
          <w:szCs w:val="44"/>
        </w:rPr>
      </w:pPr>
      <w:r>
        <w:rPr>
          <w:rFonts w:hint="eastAsia" w:eastAsia="黑体"/>
          <w:sz w:val="44"/>
          <w:szCs w:val="44"/>
        </w:rPr>
        <w:t>附件</w:t>
      </w:r>
    </w:p>
    <w:p w14:paraId="5C5720C7">
      <w:pPr>
        <w:widowControl/>
        <w:numPr>
          <w:ilvl w:val="0"/>
          <w:numId w:val="0"/>
        </w:numPr>
        <w:ind w:firstLine="640" w:firstLineChars="200"/>
        <w:jc w:val="both"/>
        <w:rPr>
          <w:rFonts w:hint="eastAsia" w:ascii="Times New Roman" w:eastAsia="仿宋_GB2312"/>
          <w:sz w:val="32"/>
        </w:rPr>
      </w:pPr>
      <w:r>
        <w:rPr>
          <w:rFonts w:hint="eastAsia" w:ascii="Times New Roman" w:eastAsia="仿宋_GB2312"/>
          <w:sz w:val="32"/>
          <w:lang w:val="zh-CN"/>
        </w:rPr>
        <w:t>附表：</w:t>
      </w:r>
      <w:r>
        <w:rPr>
          <w:rFonts w:hint="eastAsia" w:eastAsia="仿宋_GB2312"/>
          <w:sz w:val="32"/>
          <w:lang w:val="en-US" w:eastAsia="zh-CN"/>
        </w:rPr>
        <w:t>单位</w:t>
      </w:r>
      <w:r>
        <w:rPr>
          <w:rFonts w:hint="eastAsia" w:ascii="Times New Roman" w:eastAsia="仿宋_GB2312"/>
          <w:sz w:val="32"/>
        </w:rPr>
        <w:t>预算项目支出绩效自评表（2024年度）见附件3</w:t>
      </w:r>
    </w:p>
    <w:p w14:paraId="64524EE4">
      <w:pPr>
        <w:widowControl/>
        <w:numPr>
          <w:ilvl w:val="0"/>
          <w:numId w:val="0"/>
        </w:numPr>
        <w:ind w:firstLine="640" w:firstLineChars="200"/>
        <w:jc w:val="both"/>
        <w:rPr>
          <w:rFonts w:hint="eastAsia" w:ascii="Times New Roman" w:eastAsia="仿宋_GB2312"/>
          <w:sz w:val="32"/>
        </w:rPr>
      </w:pPr>
    </w:p>
    <w:p w14:paraId="4EF571D3">
      <w:pPr>
        <w:widowControl/>
        <w:numPr>
          <w:ilvl w:val="0"/>
          <w:numId w:val="0"/>
        </w:numPr>
        <w:jc w:val="both"/>
        <w:rPr>
          <w:rFonts w:hint="eastAsia" w:eastAsia="黑体"/>
          <w:sz w:val="44"/>
          <w:szCs w:val="44"/>
        </w:rPr>
      </w:pPr>
    </w:p>
    <w:p w14:paraId="731F8566">
      <w:pPr>
        <w:widowControl/>
        <w:numPr>
          <w:ilvl w:val="0"/>
          <w:numId w:val="0"/>
        </w:numPr>
        <w:jc w:val="both"/>
        <w:rPr>
          <w:rFonts w:hint="eastAsia" w:eastAsia="黑体"/>
          <w:sz w:val="44"/>
          <w:szCs w:val="44"/>
        </w:rPr>
      </w:pPr>
    </w:p>
    <w:p w14:paraId="1C8E4B39">
      <w:pPr>
        <w:widowControl/>
        <w:numPr>
          <w:ilvl w:val="0"/>
          <w:numId w:val="0"/>
        </w:numPr>
        <w:jc w:val="both"/>
        <w:rPr>
          <w:rFonts w:hint="eastAsia" w:eastAsia="黑体"/>
          <w:sz w:val="44"/>
          <w:szCs w:val="44"/>
        </w:rPr>
      </w:pPr>
    </w:p>
    <w:p w14:paraId="71A18908">
      <w:pPr>
        <w:widowControl/>
        <w:numPr>
          <w:ilvl w:val="0"/>
          <w:numId w:val="0"/>
        </w:numPr>
        <w:jc w:val="both"/>
        <w:rPr>
          <w:rFonts w:hint="eastAsia" w:eastAsia="黑体"/>
          <w:sz w:val="44"/>
          <w:szCs w:val="44"/>
        </w:rPr>
      </w:pPr>
    </w:p>
    <w:p w14:paraId="757BD6EE">
      <w:pPr>
        <w:widowControl/>
        <w:numPr>
          <w:ilvl w:val="0"/>
          <w:numId w:val="0"/>
        </w:numPr>
        <w:jc w:val="both"/>
        <w:rPr>
          <w:rFonts w:hint="eastAsia" w:eastAsia="黑体"/>
          <w:sz w:val="44"/>
          <w:szCs w:val="44"/>
        </w:rPr>
      </w:pPr>
    </w:p>
    <w:p w14:paraId="631F043B">
      <w:pPr>
        <w:widowControl/>
        <w:numPr>
          <w:ilvl w:val="0"/>
          <w:numId w:val="0"/>
        </w:numPr>
        <w:jc w:val="both"/>
        <w:rPr>
          <w:rFonts w:hint="eastAsia" w:eastAsia="黑体"/>
          <w:sz w:val="44"/>
          <w:szCs w:val="44"/>
        </w:rPr>
      </w:pPr>
    </w:p>
    <w:p w14:paraId="12801291">
      <w:pPr>
        <w:widowControl/>
        <w:numPr>
          <w:ilvl w:val="0"/>
          <w:numId w:val="0"/>
        </w:numPr>
        <w:jc w:val="both"/>
        <w:rPr>
          <w:rFonts w:hint="eastAsia" w:eastAsia="黑体"/>
          <w:sz w:val="44"/>
          <w:szCs w:val="44"/>
        </w:rPr>
      </w:pPr>
    </w:p>
    <w:p w14:paraId="7EF37C20">
      <w:pPr>
        <w:widowControl/>
        <w:numPr>
          <w:ilvl w:val="0"/>
          <w:numId w:val="0"/>
        </w:numPr>
        <w:jc w:val="both"/>
        <w:rPr>
          <w:rFonts w:hint="eastAsia" w:eastAsia="黑体"/>
          <w:sz w:val="44"/>
          <w:szCs w:val="44"/>
        </w:rPr>
      </w:pPr>
    </w:p>
    <w:p w14:paraId="4C67488F">
      <w:pPr>
        <w:widowControl/>
        <w:numPr>
          <w:ilvl w:val="0"/>
          <w:numId w:val="0"/>
        </w:numPr>
        <w:jc w:val="both"/>
        <w:rPr>
          <w:rFonts w:hint="eastAsia" w:eastAsia="黑体"/>
          <w:sz w:val="44"/>
          <w:szCs w:val="44"/>
        </w:rPr>
      </w:pPr>
    </w:p>
    <w:p w14:paraId="279A7FDC">
      <w:pPr>
        <w:widowControl/>
        <w:numPr>
          <w:ilvl w:val="0"/>
          <w:numId w:val="0"/>
        </w:numPr>
        <w:jc w:val="both"/>
        <w:rPr>
          <w:rFonts w:hint="eastAsia" w:eastAsia="黑体"/>
          <w:sz w:val="44"/>
          <w:szCs w:val="44"/>
        </w:rPr>
      </w:pPr>
    </w:p>
    <w:p w14:paraId="418E4B07">
      <w:pPr>
        <w:widowControl/>
        <w:numPr>
          <w:ilvl w:val="0"/>
          <w:numId w:val="0"/>
        </w:numPr>
        <w:jc w:val="both"/>
        <w:rPr>
          <w:rFonts w:hint="eastAsia" w:eastAsia="黑体"/>
          <w:sz w:val="44"/>
          <w:szCs w:val="44"/>
        </w:rPr>
      </w:pPr>
    </w:p>
    <w:p w14:paraId="7E123B39">
      <w:pPr>
        <w:widowControl/>
        <w:numPr>
          <w:ilvl w:val="0"/>
          <w:numId w:val="0"/>
        </w:numPr>
        <w:jc w:val="both"/>
        <w:rPr>
          <w:rFonts w:hint="eastAsia" w:eastAsia="黑体"/>
          <w:sz w:val="44"/>
          <w:szCs w:val="44"/>
        </w:rPr>
      </w:pPr>
    </w:p>
    <w:p w14:paraId="05D1D6C2">
      <w:pPr>
        <w:widowControl/>
        <w:numPr>
          <w:ilvl w:val="0"/>
          <w:numId w:val="0"/>
        </w:numPr>
        <w:jc w:val="both"/>
        <w:rPr>
          <w:rFonts w:hint="eastAsia" w:eastAsia="黑体"/>
          <w:sz w:val="44"/>
          <w:szCs w:val="44"/>
        </w:rPr>
      </w:pPr>
    </w:p>
    <w:p w14:paraId="319B02E9">
      <w:pPr>
        <w:widowControl/>
        <w:numPr>
          <w:ilvl w:val="0"/>
          <w:numId w:val="0"/>
        </w:numPr>
        <w:jc w:val="both"/>
        <w:rPr>
          <w:rFonts w:hint="eastAsia" w:eastAsia="黑体"/>
          <w:sz w:val="44"/>
          <w:szCs w:val="44"/>
        </w:rPr>
      </w:pPr>
    </w:p>
    <w:p w14:paraId="1DDD3CCB">
      <w:pPr>
        <w:widowControl/>
        <w:numPr>
          <w:ilvl w:val="0"/>
          <w:numId w:val="0"/>
        </w:numPr>
        <w:jc w:val="both"/>
        <w:rPr>
          <w:rFonts w:hint="eastAsia" w:eastAsia="黑体"/>
          <w:sz w:val="44"/>
          <w:szCs w:val="44"/>
        </w:rPr>
      </w:pPr>
    </w:p>
    <w:p w14:paraId="5DD66835">
      <w:pPr>
        <w:widowControl/>
        <w:numPr>
          <w:ilvl w:val="0"/>
          <w:numId w:val="0"/>
        </w:numPr>
        <w:jc w:val="both"/>
        <w:rPr>
          <w:rFonts w:hint="eastAsia" w:eastAsia="黑体"/>
          <w:sz w:val="44"/>
          <w:szCs w:val="44"/>
        </w:rPr>
      </w:pPr>
    </w:p>
    <w:p w14:paraId="7D232D19">
      <w:pPr>
        <w:widowControl/>
        <w:numPr>
          <w:ilvl w:val="0"/>
          <w:numId w:val="0"/>
        </w:numPr>
        <w:jc w:val="both"/>
        <w:rPr>
          <w:rFonts w:hint="eastAsia" w:eastAsia="黑体"/>
          <w:sz w:val="44"/>
          <w:szCs w:val="44"/>
        </w:rPr>
      </w:pPr>
    </w:p>
    <w:p w14:paraId="1B301CB5">
      <w:pPr>
        <w:widowControl/>
        <w:numPr>
          <w:ilvl w:val="0"/>
          <w:numId w:val="0"/>
        </w:numPr>
        <w:jc w:val="both"/>
        <w:rPr>
          <w:rFonts w:hint="eastAsia" w:eastAsia="黑体"/>
          <w:sz w:val="44"/>
          <w:szCs w:val="44"/>
        </w:rPr>
      </w:pPr>
    </w:p>
    <w:p w14:paraId="3B7258C3">
      <w:pPr>
        <w:widowControl/>
        <w:numPr>
          <w:ilvl w:val="0"/>
          <w:numId w:val="0"/>
        </w:numPr>
        <w:jc w:val="both"/>
        <w:rPr>
          <w:rFonts w:hint="eastAsia" w:eastAsia="黑体"/>
          <w:sz w:val="44"/>
          <w:szCs w:val="44"/>
        </w:rPr>
      </w:pPr>
    </w:p>
    <w:p w14:paraId="04A69FCD">
      <w:pPr>
        <w:widowControl/>
        <w:numPr>
          <w:ilvl w:val="0"/>
          <w:numId w:val="0"/>
        </w:numPr>
        <w:jc w:val="center"/>
        <w:rPr>
          <w:rFonts w:eastAsia="仿宋"/>
        </w:rPr>
      </w:pPr>
      <w:r>
        <w:rPr>
          <w:rFonts w:hint="eastAsia" w:eastAsia="黑体"/>
          <w:sz w:val="44"/>
          <w:szCs w:val="44"/>
        </w:rPr>
        <w:t>第</w:t>
      </w:r>
      <w:r>
        <w:rPr>
          <w:rStyle w:val="28"/>
          <w:rFonts w:hint="eastAsia" w:eastAsia="黑体"/>
          <w:b w:val="0"/>
          <w:lang w:val="en-US" w:eastAsia="zh-CN"/>
        </w:rPr>
        <w:t>五</w:t>
      </w:r>
      <w:r>
        <w:rPr>
          <w:rStyle w:val="28"/>
          <w:rFonts w:hint="eastAsia" w:eastAsia="黑体"/>
          <w:b w:val="0"/>
        </w:rPr>
        <w:t>部分 附表</w:t>
      </w:r>
      <w:bookmarkEnd w:id="46"/>
      <w:bookmarkEnd w:id="47"/>
      <w:bookmarkStart w:id="48" w:name="_Toc15396619"/>
    </w:p>
    <w:p w14:paraId="38C1202B">
      <w:pPr>
        <w:pStyle w:val="14"/>
        <w:adjustRightInd w:val="0"/>
        <w:snapToGrid w:val="0"/>
        <w:spacing w:line="560" w:lineRule="exact"/>
        <w:jc w:val="left"/>
        <w:rPr>
          <w:rFonts w:eastAsia="仿宋_GB2312" w:cs="仿宋_GB2312"/>
          <w:sz w:val="32"/>
          <w:szCs w:val="32"/>
        </w:rPr>
      </w:pPr>
    </w:p>
    <w:p w14:paraId="2B5F7D4A">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48"/>
    </w:p>
    <w:p w14:paraId="658C594E">
      <w:pPr>
        <w:pStyle w:val="14"/>
        <w:adjustRightInd w:val="0"/>
        <w:snapToGrid w:val="0"/>
        <w:spacing w:line="560" w:lineRule="exact"/>
        <w:jc w:val="left"/>
        <w:rPr>
          <w:rFonts w:eastAsia="仿宋_GB2312" w:cs="仿宋_GB2312"/>
          <w:sz w:val="32"/>
          <w:szCs w:val="32"/>
        </w:rPr>
      </w:pPr>
      <w:bookmarkStart w:id="49" w:name="_Toc15396620"/>
      <w:r>
        <w:rPr>
          <w:rFonts w:hint="eastAsia" w:eastAsia="仿宋_GB2312" w:cs="仿宋_GB2312"/>
          <w:sz w:val="32"/>
          <w:szCs w:val="32"/>
        </w:rPr>
        <w:t>二、收入决算表</w:t>
      </w:r>
      <w:bookmarkEnd w:id="49"/>
    </w:p>
    <w:p w14:paraId="62173F67">
      <w:pPr>
        <w:pStyle w:val="14"/>
        <w:adjustRightInd w:val="0"/>
        <w:snapToGrid w:val="0"/>
        <w:spacing w:line="560" w:lineRule="exact"/>
        <w:jc w:val="left"/>
        <w:rPr>
          <w:rFonts w:eastAsia="仿宋_GB2312" w:cs="仿宋_GB2312"/>
          <w:sz w:val="32"/>
          <w:szCs w:val="32"/>
        </w:rPr>
      </w:pPr>
      <w:bookmarkStart w:id="50" w:name="_Toc15396621"/>
      <w:r>
        <w:rPr>
          <w:rFonts w:hint="eastAsia" w:eastAsia="仿宋_GB2312" w:cs="仿宋_GB2312"/>
          <w:sz w:val="32"/>
          <w:szCs w:val="32"/>
        </w:rPr>
        <w:t>三、支出决算表</w:t>
      </w:r>
      <w:bookmarkEnd w:id="50"/>
    </w:p>
    <w:p w14:paraId="426EEB55">
      <w:pPr>
        <w:pStyle w:val="14"/>
        <w:adjustRightInd w:val="0"/>
        <w:snapToGrid w:val="0"/>
        <w:spacing w:line="560" w:lineRule="exact"/>
        <w:jc w:val="left"/>
        <w:rPr>
          <w:rFonts w:eastAsia="仿宋_GB2312" w:cs="仿宋_GB2312"/>
          <w:sz w:val="32"/>
          <w:szCs w:val="32"/>
        </w:rPr>
      </w:pPr>
      <w:bookmarkStart w:id="51" w:name="_Toc15396622"/>
      <w:r>
        <w:rPr>
          <w:rFonts w:hint="eastAsia" w:eastAsia="仿宋_GB2312" w:cs="仿宋_GB2312"/>
          <w:sz w:val="32"/>
          <w:szCs w:val="32"/>
        </w:rPr>
        <w:t>四、财政拨款收入支出决算总表</w:t>
      </w:r>
      <w:bookmarkEnd w:id="51"/>
    </w:p>
    <w:p w14:paraId="79CDF94E">
      <w:pPr>
        <w:pStyle w:val="14"/>
        <w:adjustRightInd w:val="0"/>
        <w:snapToGrid w:val="0"/>
        <w:spacing w:line="560" w:lineRule="exact"/>
        <w:jc w:val="left"/>
        <w:rPr>
          <w:rFonts w:eastAsia="仿宋_GB2312" w:cs="仿宋_GB2312"/>
          <w:sz w:val="32"/>
          <w:szCs w:val="32"/>
        </w:rPr>
      </w:pPr>
      <w:bookmarkStart w:id="52" w:name="_Toc15396623"/>
      <w:r>
        <w:rPr>
          <w:rFonts w:hint="eastAsia" w:eastAsia="仿宋_GB2312" w:cs="仿宋_GB2312"/>
          <w:sz w:val="32"/>
          <w:szCs w:val="32"/>
        </w:rPr>
        <w:t>五、财政拨款支出决算明细表</w:t>
      </w:r>
      <w:bookmarkEnd w:id="52"/>
      <w:bookmarkStart w:id="53" w:name="_Toc15396624"/>
    </w:p>
    <w:p w14:paraId="29250AEB">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53"/>
    </w:p>
    <w:p w14:paraId="6446ABCE">
      <w:pPr>
        <w:pStyle w:val="14"/>
        <w:adjustRightInd w:val="0"/>
        <w:snapToGrid w:val="0"/>
        <w:spacing w:line="560" w:lineRule="exact"/>
        <w:jc w:val="left"/>
        <w:rPr>
          <w:rFonts w:eastAsia="仿宋_GB2312" w:cs="仿宋_GB2312"/>
          <w:sz w:val="32"/>
          <w:szCs w:val="32"/>
        </w:rPr>
      </w:pPr>
      <w:bookmarkStart w:id="54" w:name="_Toc15396625"/>
      <w:r>
        <w:rPr>
          <w:rFonts w:hint="eastAsia" w:eastAsia="仿宋_GB2312" w:cs="仿宋_GB2312"/>
          <w:sz w:val="32"/>
          <w:szCs w:val="32"/>
        </w:rPr>
        <w:t>七、一般公共预算财政拨款支出决算明细表</w:t>
      </w:r>
      <w:bookmarkEnd w:id="54"/>
    </w:p>
    <w:p w14:paraId="6CA513D4">
      <w:pPr>
        <w:pStyle w:val="14"/>
        <w:adjustRightInd w:val="0"/>
        <w:snapToGrid w:val="0"/>
        <w:spacing w:line="560" w:lineRule="exact"/>
        <w:jc w:val="left"/>
        <w:rPr>
          <w:rFonts w:eastAsia="仿宋_GB2312" w:cs="仿宋_GB2312"/>
          <w:sz w:val="32"/>
          <w:szCs w:val="32"/>
        </w:rPr>
      </w:pPr>
      <w:bookmarkStart w:id="55" w:name="_Toc15396626"/>
      <w:r>
        <w:rPr>
          <w:rFonts w:hint="eastAsia" w:eastAsia="仿宋_GB2312" w:cs="仿宋_GB2312"/>
          <w:sz w:val="32"/>
          <w:szCs w:val="32"/>
        </w:rPr>
        <w:t>八、一般公共预算财政拨款基本支出决算表</w:t>
      </w:r>
      <w:bookmarkEnd w:id="55"/>
    </w:p>
    <w:p w14:paraId="7A91E8DA">
      <w:pPr>
        <w:pStyle w:val="14"/>
        <w:adjustRightInd w:val="0"/>
        <w:snapToGrid w:val="0"/>
        <w:spacing w:line="560" w:lineRule="exact"/>
        <w:jc w:val="left"/>
        <w:rPr>
          <w:rFonts w:eastAsia="仿宋_GB2312" w:cs="仿宋_GB2312"/>
          <w:sz w:val="32"/>
          <w:szCs w:val="32"/>
        </w:rPr>
      </w:pPr>
      <w:bookmarkStart w:id="56" w:name="_Toc15396627"/>
      <w:r>
        <w:rPr>
          <w:rFonts w:hint="eastAsia" w:eastAsia="仿宋_GB2312" w:cs="仿宋_GB2312"/>
          <w:sz w:val="32"/>
          <w:szCs w:val="32"/>
        </w:rPr>
        <w:t>九、一般公共预算财政拨款项目支出决算表</w:t>
      </w:r>
      <w:bookmarkEnd w:id="56"/>
    </w:p>
    <w:p w14:paraId="5140C67C">
      <w:pPr>
        <w:pStyle w:val="14"/>
        <w:adjustRightInd w:val="0"/>
        <w:snapToGrid w:val="0"/>
        <w:spacing w:line="560" w:lineRule="exact"/>
        <w:jc w:val="left"/>
        <w:rPr>
          <w:rFonts w:eastAsia="仿宋_GB2312" w:cs="仿宋_GB2312"/>
          <w:sz w:val="32"/>
          <w:szCs w:val="32"/>
        </w:rPr>
      </w:pPr>
      <w:bookmarkStart w:id="57" w:name="_Toc15396628"/>
      <w:r>
        <w:rPr>
          <w:rFonts w:hint="eastAsia" w:eastAsia="仿宋_GB2312" w:cs="仿宋_GB2312"/>
          <w:sz w:val="32"/>
          <w:szCs w:val="32"/>
        </w:rPr>
        <w:t>十、</w:t>
      </w:r>
      <w:bookmarkEnd w:id="57"/>
      <w:r>
        <w:rPr>
          <w:rFonts w:hint="eastAsia" w:eastAsia="仿宋_GB2312" w:cs="仿宋_GB2312"/>
          <w:sz w:val="32"/>
          <w:szCs w:val="32"/>
        </w:rPr>
        <w:t>政府性基金预算财政拨款收入支出决算表</w:t>
      </w:r>
    </w:p>
    <w:p w14:paraId="4D28C302">
      <w:pPr>
        <w:pStyle w:val="14"/>
        <w:adjustRightInd w:val="0"/>
        <w:snapToGrid w:val="0"/>
        <w:spacing w:line="560" w:lineRule="exact"/>
        <w:jc w:val="left"/>
        <w:rPr>
          <w:rFonts w:eastAsia="仿宋_GB2312" w:cs="仿宋_GB2312"/>
          <w:sz w:val="32"/>
          <w:szCs w:val="32"/>
        </w:rPr>
      </w:pPr>
      <w:bookmarkStart w:id="58" w:name="_Toc15396629"/>
      <w:r>
        <w:rPr>
          <w:rFonts w:hint="eastAsia" w:eastAsia="仿宋_GB2312" w:cs="仿宋_GB2312"/>
          <w:sz w:val="32"/>
          <w:szCs w:val="32"/>
        </w:rPr>
        <w:t>十一、</w:t>
      </w:r>
      <w:bookmarkEnd w:id="58"/>
      <w:r>
        <w:rPr>
          <w:rFonts w:hint="eastAsia" w:eastAsia="仿宋_GB2312" w:cs="仿宋_GB2312"/>
          <w:sz w:val="32"/>
          <w:szCs w:val="32"/>
        </w:rPr>
        <w:t>国有资本经营预算财政拨款收入支出决算表</w:t>
      </w:r>
    </w:p>
    <w:p w14:paraId="375C6F2B">
      <w:pPr>
        <w:pStyle w:val="14"/>
        <w:adjustRightInd w:val="0"/>
        <w:snapToGrid w:val="0"/>
        <w:spacing w:line="560" w:lineRule="exact"/>
        <w:jc w:val="left"/>
        <w:rPr>
          <w:rFonts w:eastAsia="仿宋_GB2312" w:cs="仿宋_GB2312"/>
          <w:sz w:val="32"/>
          <w:szCs w:val="32"/>
        </w:rPr>
      </w:pPr>
      <w:bookmarkStart w:id="59" w:name="_Toc15396630"/>
      <w:r>
        <w:rPr>
          <w:rFonts w:hint="eastAsia" w:eastAsia="仿宋_GB2312" w:cs="仿宋_GB2312"/>
          <w:sz w:val="32"/>
          <w:szCs w:val="32"/>
        </w:rPr>
        <w:t>十二、</w:t>
      </w:r>
      <w:bookmarkEnd w:id="59"/>
      <w:r>
        <w:rPr>
          <w:rFonts w:hint="eastAsia" w:eastAsia="仿宋_GB2312" w:cs="仿宋_GB2312"/>
          <w:sz w:val="32"/>
          <w:szCs w:val="32"/>
        </w:rPr>
        <w:t>国有资本经营预算财政拨款支出决算表</w:t>
      </w:r>
    </w:p>
    <w:p w14:paraId="50983A64">
      <w:pPr>
        <w:pStyle w:val="14"/>
        <w:adjustRightInd w:val="0"/>
        <w:snapToGrid w:val="0"/>
        <w:spacing w:line="560" w:lineRule="exact"/>
        <w:jc w:val="left"/>
        <w:rPr>
          <w:rFonts w:eastAsia="仿宋_GB2312" w:cs="仿宋_GB2312"/>
          <w:sz w:val="32"/>
          <w:szCs w:val="32"/>
        </w:rPr>
      </w:pPr>
      <w:bookmarkStart w:id="60" w:name="_Toc15396631"/>
      <w:r>
        <w:rPr>
          <w:rFonts w:hint="eastAsia" w:eastAsia="仿宋_GB2312" w:cs="仿宋_GB2312"/>
          <w:sz w:val="32"/>
          <w:szCs w:val="32"/>
        </w:rPr>
        <w:t>十三、</w:t>
      </w:r>
      <w:bookmarkEnd w:id="60"/>
      <w:r>
        <w:rPr>
          <w:rFonts w:hint="eastAsia" w:eastAsia="仿宋_GB2312" w:cs="仿宋_GB2312"/>
          <w:sz w:val="32"/>
          <w:szCs w:val="32"/>
        </w:rPr>
        <w:t>财政拨款“三公”经费支出决算表</w:t>
      </w:r>
    </w:p>
    <w:p w14:paraId="268ADDBD"/>
    <w:sectPr>
      <w:footerReference r:id="rId6" w:type="first"/>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B6930">
    <w:pPr>
      <w:pStyle w:val="10"/>
      <w:jc w:val="center"/>
    </w:pPr>
  </w:p>
  <w:p w14:paraId="46AADEE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2729A">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62397">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3762397">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14:paraId="567549EE">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C878E">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25A77">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9125A77">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F037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6DB5B"/>
    <w:multiLevelType w:val="singleLevel"/>
    <w:tmpl w:val="9FA6DB5B"/>
    <w:lvl w:ilvl="0" w:tentative="0">
      <w:start w:val="1"/>
      <w:numFmt w:val="decimal"/>
      <w:lvlText w:val="%1."/>
      <w:lvlJc w:val="left"/>
      <w:pPr>
        <w:tabs>
          <w:tab w:val="left" w:pos="312"/>
        </w:tabs>
        <w:ind w:left="197"/>
      </w:pPr>
      <w:rPr>
        <w:rFonts w:hint="default"/>
        <w:color w:val="auto"/>
      </w:rPr>
    </w:lvl>
  </w:abstractNum>
  <w:abstractNum w:abstractNumId="1">
    <w:nsid w:val="A637F146"/>
    <w:multiLevelType w:val="singleLevel"/>
    <w:tmpl w:val="A637F146"/>
    <w:lvl w:ilvl="0" w:tentative="0">
      <w:start w:val="1"/>
      <w:numFmt w:val="chineseCounting"/>
      <w:suff w:val="nothing"/>
      <w:lvlText w:val="（%1）"/>
      <w:lvlJc w:val="left"/>
      <w:rPr>
        <w:rFonts w:hint="eastAsia"/>
      </w:rPr>
    </w:lvl>
  </w:abstractNum>
  <w:abstractNum w:abstractNumId="2">
    <w:nsid w:val="DC7B5F87"/>
    <w:multiLevelType w:val="singleLevel"/>
    <w:tmpl w:val="DC7B5F87"/>
    <w:lvl w:ilvl="0" w:tentative="0">
      <w:start w:val="4"/>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2C8E"/>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07CC3"/>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483505"/>
    <w:rsid w:val="015975B8"/>
    <w:rsid w:val="020C008E"/>
    <w:rsid w:val="02D7406D"/>
    <w:rsid w:val="02E64D83"/>
    <w:rsid w:val="02FEBE30"/>
    <w:rsid w:val="03C53FD2"/>
    <w:rsid w:val="04916F1E"/>
    <w:rsid w:val="061E35DE"/>
    <w:rsid w:val="066E0107"/>
    <w:rsid w:val="06ED11FA"/>
    <w:rsid w:val="07996F6E"/>
    <w:rsid w:val="07DFD8BA"/>
    <w:rsid w:val="09867E8F"/>
    <w:rsid w:val="09906519"/>
    <w:rsid w:val="0A2032A3"/>
    <w:rsid w:val="0CA8290A"/>
    <w:rsid w:val="0D35B1ED"/>
    <w:rsid w:val="0DA6583B"/>
    <w:rsid w:val="0E254B6B"/>
    <w:rsid w:val="0F9718DF"/>
    <w:rsid w:val="0F98263C"/>
    <w:rsid w:val="101860EC"/>
    <w:rsid w:val="101F47CC"/>
    <w:rsid w:val="10C055FF"/>
    <w:rsid w:val="11694EBD"/>
    <w:rsid w:val="11772AA4"/>
    <w:rsid w:val="118107EC"/>
    <w:rsid w:val="12E24EE2"/>
    <w:rsid w:val="12E52961"/>
    <w:rsid w:val="13D50BC4"/>
    <w:rsid w:val="14527209"/>
    <w:rsid w:val="14B17F78"/>
    <w:rsid w:val="15F630D7"/>
    <w:rsid w:val="165E0673"/>
    <w:rsid w:val="16B3050C"/>
    <w:rsid w:val="16B831D5"/>
    <w:rsid w:val="16BB723D"/>
    <w:rsid w:val="17E50567"/>
    <w:rsid w:val="17F43647"/>
    <w:rsid w:val="18644328"/>
    <w:rsid w:val="186504BB"/>
    <w:rsid w:val="19A445FC"/>
    <w:rsid w:val="1BB63F44"/>
    <w:rsid w:val="1BE8440E"/>
    <w:rsid w:val="1C37446B"/>
    <w:rsid w:val="1D155CEE"/>
    <w:rsid w:val="1D1638FE"/>
    <w:rsid w:val="1DE63A32"/>
    <w:rsid w:val="1E312DEB"/>
    <w:rsid w:val="1E740ACF"/>
    <w:rsid w:val="1F651542"/>
    <w:rsid w:val="1F9C4CF0"/>
    <w:rsid w:val="1FF35744"/>
    <w:rsid w:val="1FF6BC77"/>
    <w:rsid w:val="2186353C"/>
    <w:rsid w:val="22CA3922"/>
    <w:rsid w:val="23860B96"/>
    <w:rsid w:val="240371BF"/>
    <w:rsid w:val="244F3473"/>
    <w:rsid w:val="24AE27A9"/>
    <w:rsid w:val="24C97D99"/>
    <w:rsid w:val="25A718F0"/>
    <w:rsid w:val="25BB59F6"/>
    <w:rsid w:val="260F557C"/>
    <w:rsid w:val="26970054"/>
    <w:rsid w:val="26AC220D"/>
    <w:rsid w:val="26C32B07"/>
    <w:rsid w:val="281408E2"/>
    <w:rsid w:val="2967180A"/>
    <w:rsid w:val="29FD04D3"/>
    <w:rsid w:val="2B4F2EB5"/>
    <w:rsid w:val="2BFF7BC6"/>
    <w:rsid w:val="2C8A61B5"/>
    <w:rsid w:val="2DF04E50"/>
    <w:rsid w:val="2E586DFA"/>
    <w:rsid w:val="2F040D46"/>
    <w:rsid w:val="2F6B035B"/>
    <w:rsid w:val="2FAD0853"/>
    <w:rsid w:val="2FAE5751"/>
    <w:rsid w:val="2FB1A395"/>
    <w:rsid w:val="2FD9A7D8"/>
    <w:rsid w:val="2FDBF714"/>
    <w:rsid w:val="306732B1"/>
    <w:rsid w:val="30AB6865"/>
    <w:rsid w:val="314D1BF4"/>
    <w:rsid w:val="316D2048"/>
    <w:rsid w:val="319F7F4E"/>
    <w:rsid w:val="31B934DF"/>
    <w:rsid w:val="31F60A7B"/>
    <w:rsid w:val="32BD1EF1"/>
    <w:rsid w:val="32FF4F22"/>
    <w:rsid w:val="3304709D"/>
    <w:rsid w:val="330D3AE3"/>
    <w:rsid w:val="33923FE8"/>
    <w:rsid w:val="33A53D1B"/>
    <w:rsid w:val="33A773CB"/>
    <w:rsid w:val="33B4248D"/>
    <w:rsid w:val="340622E0"/>
    <w:rsid w:val="349D6851"/>
    <w:rsid w:val="358B5193"/>
    <w:rsid w:val="36AA5135"/>
    <w:rsid w:val="36BE0DA7"/>
    <w:rsid w:val="376B6AA6"/>
    <w:rsid w:val="376D39B2"/>
    <w:rsid w:val="37E16F03"/>
    <w:rsid w:val="37F53A3B"/>
    <w:rsid w:val="389B6C89"/>
    <w:rsid w:val="38D469F0"/>
    <w:rsid w:val="390D65DD"/>
    <w:rsid w:val="39627CCD"/>
    <w:rsid w:val="397BAF1F"/>
    <w:rsid w:val="39C42A21"/>
    <w:rsid w:val="3A477BE0"/>
    <w:rsid w:val="3AB79AF3"/>
    <w:rsid w:val="3AE834C0"/>
    <w:rsid w:val="3B5732CF"/>
    <w:rsid w:val="3B7EF35A"/>
    <w:rsid w:val="3B9FDB6C"/>
    <w:rsid w:val="3BCE7B87"/>
    <w:rsid w:val="3BF5BC2F"/>
    <w:rsid w:val="3C5067EE"/>
    <w:rsid w:val="3C85293C"/>
    <w:rsid w:val="3CEBA265"/>
    <w:rsid w:val="3D98207C"/>
    <w:rsid w:val="3DCE20C0"/>
    <w:rsid w:val="3DEE7CF3"/>
    <w:rsid w:val="3E740A63"/>
    <w:rsid w:val="3E78745D"/>
    <w:rsid w:val="3EE17838"/>
    <w:rsid w:val="3F0D6C18"/>
    <w:rsid w:val="3F55381A"/>
    <w:rsid w:val="3F7F7599"/>
    <w:rsid w:val="3FF4CAE0"/>
    <w:rsid w:val="3FF7B227"/>
    <w:rsid w:val="44E268DA"/>
    <w:rsid w:val="44FD328B"/>
    <w:rsid w:val="450D13D7"/>
    <w:rsid w:val="45506656"/>
    <w:rsid w:val="47947AFC"/>
    <w:rsid w:val="486A6C7A"/>
    <w:rsid w:val="487344BE"/>
    <w:rsid w:val="48742D12"/>
    <w:rsid w:val="4A627F82"/>
    <w:rsid w:val="4B0E749A"/>
    <w:rsid w:val="4B2137C8"/>
    <w:rsid w:val="4B2477C4"/>
    <w:rsid w:val="4B4F25DA"/>
    <w:rsid w:val="4B766399"/>
    <w:rsid w:val="4BAB3A41"/>
    <w:rsid w:val="4BE068DB"/>
    <w:rsid w:val="4C03387D"/>
    <w:rsid w:val="4C2832E3"/>
    <w:rsid w:val="4D577224"/>
    <w:rsid w:val="4D785BA5"/>
    <w:rsid w:val="4DBF1CEB"/>
    <w:rsid w:val="4DF0007C"/>
    <w:rsid w:val="4EAB630A"/>
    <w:rsid w:val="4ECE2238"/>
    <w:rsid w:val="4F833267"/>
    <w:rsid w:val="4FE9BD67"/>
    <w:rsid w:val="4FF21C3E"/>
    <w:rsid w:val="4FFB052F"/>
    <w:rsid w:val="51300D72"/>
    <w:rsid w:val="51394EA9"/>
    <w:rsid w:val="537E6D0A"/>
    <w:rsid w:val="53F74C96"/>
    <w:rsid w:val="54305A26"/>
    <w:rsid w:val="55170BA8"/>
    <w:rsid w:val="553218C9"/>
    <w:rsid w:val="567E1AA5"/>
    <w:rsid w:val="56B55774"/>
    <w:rsid w:val="56E47B74"/>
    <w:rsid w:val="57175D52"/>
    <w:rsid w:val="5785783C"/>
    <w:rsid w:val="57BD3DD4"/>
    <w:rsid w:val="5AC119B9"/>
    <w:rsid w:val="5AF92295"/>
    <w:rsid w:val="5B250254"/>
    <w:rsid w:val="5BDD79E6"/>
    <w:rsid w:val="5BF561CA"/>
    <w:rsid w:val="5BFF5DFC"/>
    <w:rsid w:val="5CC56DC2"/>
    <w:rsid w:val="5CD71FC4"/>
    <w:rsid w:val="5D1F11B5"/>
    <w:rsid w:val="5D695134"/>
    <w:rsid w:val="5DAE1B18"/>
    <w:rsid w:val="5DE7D9E5"/>
    <w:rsid w:val="5ECEC941"/>
    <w:rsid w:val="5F585793"/>
    <w:rsid w:val="5FBF9FF3"/>
    <w:rsid w:val="5FCD4E2C"/>
    <w:rsid w:val="5FEF394A"/>
    <w:rsid w:val="5FF67715"/>
    <w:rsid w:val="605D5F6F"/>
    <w:rsid w:val="614219BF"/>
    <w:rsid w:val="61DC7777"/>
    <w:rsid w:val="61FA4982"/>
    <w:rsid w:val="62BF3928"/>
    <w:rsid w:val="63B3701E"/>
    <w:rsid w:val="647F5392"/>
    <w:rsid w:val="65E66580"/>
    <w:rsid w:val="663A3EE7"/>
    <w:rsid w:val="664B1D71"/>
    <w:rsid w:val="664B4E8E"/>
    <w:rsid w:val="67277B67"/>
    <w:rsid w:val="67AA3209"/>
    <w:rsid w:val="67BA6747"/>
    <w:rsid w:val="687E0F07"/>
    <w:rsid w:val="68A35D74"/>
    <w:rsid w:val="698D0931"/>
    <w:rsid w:val="6A7FE5F3"/>
    <w:rsid w:val="6B053271"/>
    <w:rsid w:val="6BDD78B3"/>
    <w:rsid w:val="6C4A05C8"/>
    <w:rsid w:val="6C8742B8"/>
    <w:rsid w:val="6D9518D7"/>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2C48A1"/>
    <w:rsid w:val="70484440"/>
    <w:rsid w:val="707D6EAA"/>
    <w:rsid w:val="70C11CDE"/>
    <w:rsid w:val="712A28F1"/>
    <w:rsid w:val="715C0E4B"/>
    <w:rsid w:val="71992E7C"/>
    <w:rsid w:val="71EC129E"/>
    <w:rsid w:val="71F4319C"/>
    <w:rsid w:val="72233669"/>
    <w:rsid w:val="72734D90"/>
    <w:rsid w:val="72C214EC"/>
    <w:rsid w:val="73160E6D"/>
    <w:rsid w:val="7332FE48"/>
    <w:rsid w:val="73487C44"/>
    <w:rsid w:val="73AB61DA"/>
    <w:rsid w:val="73AD73D5"/>
    <w:rsid w:val="73B057E9"/>
    <w:rsid w:val="73B6EB34"/>
    <w:rsid w:val="73FA497D"/>
    <w:rsid w:val="744731E5"/>
    <w:rsid w:val="74BBD01D"/>
    <w:rsid w:val="74ED5379"/>
    <w:rsid w:val="75DEEEC2"/>
    <w:rsid w:val="75E32345"/>
    <w:rsid w:val="76E3355F"/>
    <w:rsid w:val="76FF5125"/>
    <w:rsid w:val="776F6FFA"/>
    <w:rsid w:val="778769C8"/>
    <w:rsid w:val="77A75DCA"/>
    <w:rsid w:val="77D92115"/>
    <w:rsid w:val="77DC22F5"/>
    <w:rsid w:val="783E271A"/>
    <w:rsid w:val="78616DE9"/>
    <w:rsid w:val="78E875D7"/>
    <w:rsid w:val="79086DAD"/>
    <w:rsid w:val="79D7FD79"/>
    <w:rsid w:val="79EA0DBB"/>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0F5AB9"/>
    <w:rsid w:val="7F1D62E7"/>
    <w:rsid w:val="7F3F679B"/>
    <w:rsid w:val="7F4FC4EF"/>
    <w:rsid w:val="7F5E4D54"/>
    <w:rsid w:val="7F6E0135"/>
    <w:rsid w:val="7F79F205"/>
    <w:rsid w:val="7FA30C79"/>
    <w:rsid w:val="7FA79C44"/>
    <w:rsid w:val="7FAF8ABF"/>
    <w:rsid w:val="7FB7269E"/>
    <w:rsid w:val="7FC96657"/>
    <w:rsid w:val="7FD12D03"/>
    <w:rsid w:val="7FD42764"/>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5802</Words>
  <Characters>6477</Characters>
  <Lines>7</Lines>
  <Paragraphs>17</Paragraphs>
  <TotalTime>0</TotalTime>
  <ScaleCrop>false</ScaleCrop>
  <LinksUpToDate>false</LinksUpToDate>
  <CharactersWithSpaces>6642</CharactersWithSpaces>
  <Application>WPS Office_12.1.0.22529_F1E327BC-269C-435d-A152-05C5408002CA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2025-09-05T02:49:00Z</dcterms:created>
  <dc:creator>曹颖</dc:creator>
  <cp:lastModifiedBy>李燕君</cp:lastModifiedBy>
  <cp:lastPrinted>2025-08-06T17:34:00Z</cp:lastPrinted>
  <dcterms:modified xsi:type="dcterms:W3CDTF">2025-09-15T06:56:29Z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E3C2C28C85584EA9B3935E317E4C42E8_13</vt:lpwstr>
  </property>
  <property fmtid="{D5CDD505-2E9C-101B-9397-08002B2CF9AE}" pid="4" name="KSOTemplateDocerSaveRecord">
    <vt:lpwstr>eyJoZGlkIjoiNTk4MzZmNjQzYWI2NzdmODU4MmE3ZDE1NDkxOTY5MjAiLCJ1c2VySWQiOiIzMjE5ODY5MzcifQ==</vt:lpwstr>
  </property>
</Properties>
</file>