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6C26D">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8441"/>
      <w:bookmarkStart w:id="2" w:name="_Toc15377193"/>
      <w:bookmarkStart w:id="3" w:name="_Toc15377425"/>
      <w:bookmarkStart w:id="4" w:name="_Toc15396475"/>
      <w:bookmarkStart w:id="5" w:name="_Toc15306267"/>
    </w:p>
    <w:p w14:paraId="6CBFC3C5">
      <w:pPr>
        <w:pStyle w:val="8"/>
        <w:rPr>
          <w:rFonts w:hint="eastAsia" w:ascii="Times New Roman" w:hAnsi="Times New Roman" w:eastAsia="方正小标宋简体" w:cs="Times New Roman"/>
          <w:color w:val="auto"/>
          <w:kern w:val="2"/>
          <w:sz w:val="72"/>
          <w:szCs w:val="72"/>
          <w:highlight w:val="none"/>
          <w:lang w:val="en-US" w:eastAsia="zh-CN" w:bidi="ar-SA"/>
        </w:rPr>
      </w:pPr>
    </w:p>
    <w:p w14:paraId="388E31AF">
      <w:pPr>
        <w:pStyle w:val="8"/>
        <w:rPr>
          <w:rFonts w:hint="eastAsia" w:ascii="Times New Roman" w:hAnsi="Times New Roman" w:eastAsia="方正小标宋简体" w:cs="Times New Roman"/>
          <w:color w:val="auto"/>
          <w:kern w:val="2"/>
          <w:sz w:val="72"/>
          <w:szCs w:val="72"/>
          <w:highlight w:val="none"/>
          <w:lang w:val="en-US" w:eastAsia="zh-CN" w:bidi="ar-SA"/>
        </w:rPr>
      </w:pPr>
    </w:p>
    <w:p w14:paraId="6507EF9A">
      <w:pPr>
        <w:pStyle w:val="8"/>
        <w:rPr>
          <w:rFonts w:hint="eastAsia" w:ascii="Times New Roman" w:hAnsi="Times New Roman" w:eastAsia="方正小标宋简体" w:cs="Times New Roman"/>
          <w:color w:val="auto"/>
          <w:kern w:val="2"/>
          <w:sz w:val="72"/>
          <w:szCs w:val="72"/>
          <w:highlight w:val="none"/>
          <w:lang w:val="en-US" w:eastAsia="zh-CN" w:bidi="ar-SA"/>
        </w:rPr>
      </w:pPr>
    </w:p>
    <w:p w14:paraId="46207EF2">
      <w:pPr>
        <w:pStyle w:val="8"/>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2025年度攀枝花市公共资源交易服务中心单位</w:t>
      </w:r>
      <w:r>
        <w:rPr>
          <w:rFonts w:hint="eastAsia" w:ascii="Times New Roman" w:hAnsi="Times New Roman" w:eastAsia="方正小标宋简体" w:cs="Times New Roman"/>
          <w:color w:val="auto"/>
          <w:kern w:val="2"/>
          <w:sz w:val="44"/>
          <w:szCs w:val="44"/>
          <w:highlight w:val="none"/>
          <w:lang w:val="en-US" w:eastAsia="zh-CN" w:bidi="ar-SA"/>
        </w:rPr>
        <w:t>决算公开文字说明</w:t>
      </w:r>
    </w:p>
    <w:p w14:paraId="6254605A">
      <w:pPr>
        <w:spacing w:line="600" w:lineRule="exact"/>
        <w:jc w:val="center"/>
        <w:outlineLvl w:val="0"/>
        <w:rPr>
          <w:rFonts w:ascii="Times New Roman" w:hAnsi="Times New Roman" w:eastAsia="方正小标宋简体"/>
          <w:color w:val="auto"/>
          <w:sz w:val="72"/>
          <w:szCs w:val="72"/>
          <w:highlight w:val="none"/>
        </w:rPr>
      </w:pPr>
    </w:p>
    <w:p w14:paraId="465D5D5B">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574FB034">
      <w:pPr>
        <w:rPr>
          <w:rFonts w:ascii="Times New Roman" w:hAnsi="Times New Roman"/>
        </w:rPr>
      </w:pPr>
    </w:p>
    <w:p w14:paraId="2F2E425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A134EB0">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02D6EDA3">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45018336">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096B5AEE">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426"/>
      <w:bookmarkStart w:id="7" w:name="_Toc15378442"/>
      <w:bookmarkStart w:id="8" w:name="_Toc15396598"/>
      <w:bookmarkStart w:id="9" w:name="_Toc15396476"/>
      <w:bookmarkStart w:id="10" w:name="_Toc15377194"/>
      <w:r>
        <w:rPr>
          <w:rFonts w:hint="eastAsia" w:ascii="Times New Roman" w:eastAsia="方正小标宋简体" w:cs="Times New Roman"/>
          <w:color w:val="auto"/>
          <w:kern w:val="2"/>
          <w:sz w:val="44"/>
          <w:szCs w:val="44"/>
          <w:highlight w:val="none"/>
          <w:lang w:val="en-US" w:eastAsia="zh-CN" w:bidi="ar-SA"/>
        </w:rPr>
        <w:t>2025年度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攀枝花市公共资源交易服务中心单位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2ABE843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14:paraId="10905882">
      <w:pPr>
        <w:widowControl/>
        <w:jc w:val="center"/>
        <w:rPr>
          <w:rFonts w:hint="eastAsia" w:ascii="Times New Roman" w:hAnsi="Times New Roman" w:eastAsia="黑体"/>
          <w:color w:val="auto"/>
          <w:sz w:val="48"/>
          <w:szCs w:val="48"/>
          <w:highlight w:val="none"/>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464C9D4C">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EF8BF63">
      <w:pPr>
        <w:widowControl/>
        <w:jc w:val="center"/>
        <w:rPr>
          <w:rFonts w:ascii="Times New Roman" w:hAnsi="Times New Roman" w:eastAsia="黑体" w:cstheme="minorBidi"/>
          <w:color w:val="auto"/>
          <w:sz w:val="28"/>
          <w:szCs w:val="28"/>
          <w:highlight w:val="none"/>
        </w:rPr>
      </w:pPr>
    </w:p>
    <w:p w14:paraId="26A0CE22">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日</w:t>
      </w:r>
    </w:p>
    <w:p w14:paraId="7D976D4A">
      <w:pPr>
        <w:rPr>
          <w:rFonts w:ascii="Times New Roman" w:hAnsi="Times New Roman"/>
          <w:color w:val="auto"/>
          <w:highlight w:val="none"/>
        </w:rPr>
      </w:pPr>
    </w:p>
    <w:p w14:paraId="3A3DBE6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 xml:space="preserve">第一部分 </w:t>
      </w:r>
      <w:r>
        <w:rPr>
          <w:rFonts w:hint="eastAsia" w:ascii="Times New Roman" w:hAnsi="Times New Roman" w:eastAsia="黑体" w:cs="黑体"/>
          <w:color w:val="auto"/>
          <w:sz w:val="32"/>
          <w:szCs w:val="32"/>
          <w:highlight w:val="none"/>
          <w:lang w:val="en-US" w:eastAsia="zh-CN"/>
        </w:rPr>
        <w:t>单位</w:t>
      </w:r>
      <w:r>
        <w:rPr>
          <w:rFonts w:hint="eastAsia" w:ascii="Times New Roman" w:hAnsi="Times New Roman" w:eastAsia="黑体" w:cs="黑体"/>
          <w:color w:val="auto"/>
          <w:sz w:val="32"/>
          <w:szCs w:val="32"/>
          <w:highlight w:val="none"/>
        </w:rPr>
        <w:t>概况</w:t>
      </w:r>
      <w:r>
        <w:rPr>
          <w:rFonts w:hint="eastAsia" w:ascii="Times New Roman" w:hAnsi="Times New Roman" w:eastAsia="黑体" w:cs="黑体"/>
          <w:color w:val="auto"/>
          <w:sz w:val="32"/>
          <w:szCs w:val="32"/>
          <w:highlight w:val="none"/>
          <w:lang w:val="en-US" w:eastAsia="zh-CN"/>
        </w:rPr>
        <w:t>.................................................................1</w:t>
      </w:r>
    </w:p>
    <w:p w14:paraId="0517A3C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eastAsia="仿宋_GB2312" w:cs="仿宋_GB2312"/>
          <w:color w:val="auto"/>
          <w:sz w:val="32"/>
          <w:szCs w:val="32"/>
          <w:highlight w:val="none"/>
          <w:lang w:val="en-US" w:eastAsia="zh-CN"/>
        </w:rPr>
        <w:t>单位</w:t>
      </w:r>
      <w:r>
        <w:rPr>
          <w:rFonts w:hint="eastAsia" w:ascii="Times New Roman" w:hAnsi="Times New Roman" w:eastAsia="仿宋_GB2312" w:cs="仿宋_GB2312"/>
          <w:color w:val="auto"/>
          <w:sz w:val="32"/>
          <w:szCs w:val="32"/>
          <w:highlight w:val="none"/>
          <w:lang w:eastAsia="zh-CN"/>
        </w:rPr>
        <w:t>职责</w:t>
      </w:r>
      <w:r>
        <w:rPr>
          <w:rFonts w:hint="eastAsia" w:eastAsia="仿宋_GB2312" w:cs="仿宋_GB2312"/>
          <w:color w:val="auto"/>
          <w:sz w:val="32"/>
          <w:szCs w:val="32"/>
          <w:highlight w:val="none"/>
          <w:lang w:val="en-US" w:eastAsia="zh-CN"/>
        </w:rPr>
        <w:t>...................................................................1</w:t>
      </w:r>
    </w:p>
    <w:p w14:paraId="19DCB4B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...................................................................1</w:t>
      </w:r>
    </w:p>
    <w:p w14:paraId="60CBCC3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2025年度单位</w:t>
      </w:r>
      <w:r>
        <w:rPr>
          <w:rFonts w:hint="eastAsia" w:ascii="Times New Roman" w:hAnsi="Times New Roman" w:eastAsia="黑体" w:cs="黑体"/>
          <w:color w:val="auto"/>
          <w:sz w:val="32"/>
          <w:szCs w:val="32"/>
          <w:highlight w:val="none"/>
        </w:rPr>
        <w:t>决算情况说明</w:t>
      </w:r>
      <w:r>
        <w:rPr>
          <w:rFonts w:hint="eastAsia" w:ascii="Times New Roman" w:hAnsi="Times New Roman" w:eastAsia="黑体" w:cs="黑体"/>
          <w:color w:val="auto"/>
          <w:sz w:val="32"/>
          <w:szCs w:val="32"/>
          <w:highlight w:val="none"/>
          <w:lang w:val="en-US" w:eastAsia="zh-CN"/>
        </w:rPr>
        <w:t>................................2</w:t>
      </w:r>
    </w:p>
    <w:p w14:paraId="55F0CBB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...................................2</w:t>
      </w:r>
    </w:p>
    <w:p w14:paraId="20A6DB1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...................................................2</w:t>
      </w:r>
    </w:p>
    <w:p w14:paraId="083BBC5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...................................................3</w:t>
      </w:r>
    </w:p>
    <w:p w14:paraId="3B27CE3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...................3</w:t>
      </w:r>
    </w:p>
    <w:p w14:paraId="0C5AAEE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...........4</w:t>
      </w:r>
    </w:p>
    <w:p w14:paraId="3148C0C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...7</w:t>
      </w:r>
    </w:p>
    <w:p w14:paraId="5312EF8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...........7</w:t>
      </w:r>
    </w:p>
    <w:p w14:paraId="14E9610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.......................9</w:t>
      </w:r>
    </w:p>
    <w:p w14:paraId="5AD01F5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...................9</w:t>
      </w:r>
    </w:p>
    <w:p w14:paraId="449EE53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.......................................9</w:t>
      </w:r>
    </w:p>
    <w:p w14:paraId="7F35073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................................................................11</w:t>
      </w:r>
    </w:p>
    <w:p w14:paraId="76BFD3E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........................................................................13</w:t>
      </w:r>
    </w:p>
    <w:p w14:paraId="2AD526B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........................................................................14</w:t>
      </w:r>
    </w:p>
    <w:p w14:paraId="6C304A4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黑体" w:cs="黑体"/>
          <w:color w:val="auto"/>
          <w:sz w:val="32"/>
          <w:szCs w:val="32"/>
          <w:highlight w:val="none"/>
          <w:lang w:val="en-US" w:eastAsia="zh-CN"/>
        </w:rPr>
        <w:t>...................................................14</w:t>
      </w:r>
    </w:p>
    <w:p w14:paraId="60D9A00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黑体" w:cs="黑体"/>
          <w:color w:val="auto"/>
          <w:sz w:val="32"/>
          <w:szCs w:val="32"/>
          <w:highlight w:val="none"/>
          <w:lang w:val="en-US" w:eastAsia="zh-CN"/>
        </w:rPr>
        <w:t>...............................................................14</w:t>
      </w:r>
    </w:p>
    <w:p w14:paraId="70C74BB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黑体" w:cs="黑体"/>
          <w:color w:val="auto"/>
          <w:sz w:val="32"/>
          <w:szCs w:val="32"/>
          <w:highlight w:val="none"/>
          <w:lang w:val="en-US" w:eastAsia="zh-CN"/>
        </w:rPr>
        <w:t>...............................................................14</w:t>
      </w:r>
    </w:p>
    <w:p w14:paraId="40585C9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黑体" w:cs="黑体"/>
          <w:color w:val="auto"/>
          <w:sz w:val="32"/>
          <w:szCs w:val="32"/>
          <w:highlight w:val="none"/>
          <w:lang w:val="en-US" w:eastAsia="zh-CN"/>
        </w:rPr>
        <w:t>....................................14</w:t>
      </w:r>
    </w:p>
    <w:p w14:paraId="37EC0AF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黑体" w:cs="黑体"/>
          <w:color w:val="auto"/>
          <w:sz w:val="32"/>
          <w:szCs w:val="32"/>
          <w:highlight w:val="none"/>
          <w:lang w:val="en-US" w:eastAsia="zh-CN"/>
        </w:rPr>
        <w:t>........................................14</w:t>
      </w:r>
    </w:p>
    <w:p w14:paraId="77C556A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黑体" w:cs="黑体"/>
          <w:color w:val="auto"/>
          <w:sz w:val="32"/>
          <w:szCs w:val="32"/>
          <w:highlight w:val="none"/>
          <w:lang w:val="en-US" w:eastAsia="zh-CN"/>
        </w:rPr>
        <w:t>........................14</w:t>
      </w:r>
    </w:p>
    <w:p w14:paraId="2162887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黑体" w:cs="黑体"/>
          <w:color w:val="auto"/>
          <w:sz w:val="32"/>
          <w:szCs w:val="32"/>
          <w:highlight w:val="none"/>
          <w:lang w:val="en-US" w:eastAsia="zh-CN"/>
        </w:rPr>
        <w:t>................14</w:t>
      </w:r>
    </w:p>
    <w:p w14:paraId="231F2B5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Times New Roman" w:hAnsi="Times New Roman" w:eastAsia="黑体" w:cs="黑体"/>
          <w:color w:val="auto"/>
          <w:sz w:val="32"/>
          <w:szCs w:val="32"/>
          <w:highlight w:val="none"/>
          <w:lang w:val="en-US" w:eastAsia="zh-CN"/>
        </w:rPr>
        <w:t>.........14</w:t>
      </w:r>
    </w:p>
    <w:p w14:paraId="027437C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黑体" w:cs="黑体"/>
          <w:color w:val="auto"/>
          <w:sz w:val="32"/>
          <w:szCs w:val="32"/>
          <w:highlight w:val="none"/>
          <w:lang w:val="en-US" w:eastAsia="zh-CN"/>
        </w:rPr>
        <w:t>................14</w:t>
      </w:r>
    </w:p>
    <w:p w14:paraId="15E6DE1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黑体" w:cs="黑体"/>
          <w:color w:val="auto"/>
          <w:sz w:val="32"/>
          <w:szCs w:val="32"/>
          <w:highlight w:val="none"/>
          <w:lang w:val="en-US" w:eastAsia="zh-CN"/>
        </w:rPr>
        <w:t>.............14</w:t>
      </w:r>
    </w:p>
    <w:p w14:paraId="7BCEE48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Times New Roman" w:hAnsi="Times New Roman" w:eastAsia="黑体" w:cs="黑体"/>
          <w:color w:val="auto"/>
          <w:sz w:val="32"/>
          <w:szCs w:val="32"/>
          <w:highlight w:val="none"/>
          <w:lang w:val="en-US" w:eastAsia="zh-CN"/>
        </w:rPr>
        <w:t>.....14</w:t>
      </w:r>
    </w:p>
    <w:p w14:paraId="03DDAD6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Times New Roman" w:hAnsi="Times New Roman" w:eastAsia="黑体" w:cs="黑体"/>
          <w:color w:val="auto"/>
          <w:sz w:val="32"/>
          <w:szCs w:val="32"/>
          <w:highlight w:val="none"/>
          <w:lang w:val="en-US" w:eastAsia="zh-CN"/>
        </w:rPr>
        <w:t>............14</w:t>
      </w:r>
    </w:p>
    <w:p w14:paraId="5FEA4C8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ascii="Times New Roman" w:hAnsi="Times New Roman" w:eastAsia="黑体" w:cs="黑体"/>
          <w:color w:val="auto"/>
          <w:sz w:val="32"/>
          <w:szCs w:val="32"/>
          <w:highlight w:val="none"/>
          <w:lang w:val="en-US" w:eastAsia="zh-CN"/>
        </w:rPr>
        <w:t>.....................14</w:t>
      </w:r>
    </w:p>
    <w:p w14:paraId="30E8821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96599"/>
      <w:bookmarkStart w:id="13" w:name="_Toc15377196"/>
      <w:r>
        <w:rPr>
          <w:rFonts w:hint="eastAsia" w:ascii="Times New Roman" w:hAnsi="Times New Roman" w:eastAsia="仿宋_GB2312" w:cs="仿宋_GB2312"/>
          <w:b/>
          <w:color w:val="auto"/>
          <w:sz w:val="32"/>
          <w:szCs w:val="32"/>
          <w:highlight w:val="none"/>
        </w:rPr>
        <w:br w:type="page"/>
      </w:r>
    </w:p>
    <w:p w14:paraId="086869CF">
      <w:pPr>
        <w:pStyle w:val="5"/>
        <w:jc w:val="center"/>
        <w:rPr>
          <w:rFonts w:hint="eastAsia" w:ascii="Times New Roman" w:hAnsi="Times New Roman" w:eastAsia="方正小标宋简体" w:cs="方正小标宋简体"/>
          <w:b w:val="0"/>
          <w:color w:val="auto"/>
          <w:highlight w:val="none"/>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p>
    <w:p w14:paraId="44A18C4B">
      <w:pPr>
        <w:pStyle w:val="5"/>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单位</w:t>
      </w:r>
      <w:r>
        <w:rPr>
          <w:rStyle w:val="29"/>
          <w:rFonts w:hint="eastAsia" w:ascii="Times New Roman" w:hAnsi="Times New Roman" w:eastAsia="方正小标宋简体" w:cs="方正小标宋简体"/>
          <w:b w:val="0"/>
          <w:bCs w:val="0"/>
          <w:color w:val="auto"/>
          <w:highlight w:val="none"/>
        </w:rPr>
        <w:t>概况</w:t>
      </w:r>
      <w:bookmarkEnd w:id="12"/>
      <w:bookmarkEnd w:id="13"/>
    </w:p>
    <w:p w14:paraId="130B853B">
      <w:pPr>
        <w:widowControl/>
        <w:jc w:val="left"/>
        <w:rPr>
          <w:rFonts w:ascii="Times New Roman" w:hAnsi="Times New Roman" w:eastAsia="黑体"/>
          <w:color w:val="auto"/>
          <w:sz w:val="32"/>
          <w:szCs w:val="32"/>
          <w:highlight w:val="none"/>
        </w:rPr>
      </w:pPr>
    </w:p>
    <w:p w14:paraId="70B6C709">
      <w:pPr>
        <w:pStyle w:val="6"/>
        <w:keepNext/>
        <w:keepLines/>
        <w:pageBreakBefore w:val="0"/>
        <w:widowControl w:val="0"/>
        <w:numPr>
          <w:ilvl w:val="0"/>
          <w:numId w:val="0"/>
        </w:numPr>
        <w:kinsoku/>
        <w:wordWrap/>
        <w:overflowPunct/>
        <w:topLinePunct w:val="0"/>
        <w:autoSpaceDE/>
        <w:autoSpaceDN/>
        <w:bidi w:val="0"/>
        <w:adjustRightInd/>
        <w:snapToGrid/>
        <w:spacing w:before="0" w:after="0" w:line="416" w:lineRule="auto"/>
        <w:ind w:firstLine="640" w:firstLineChars="200"/>
        <w:textAlignment w:val="auto"/>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val="en-US" w:eastAsia="zh-CN"/>
        </w:rPr>
        <w:t>一、单位</w:t>
      </w:r>
      <w:r>
        <w:rPr>
          <w:rFonts w:hint="eastAsia" w:ascii="Times New Roman" w:hAnsi="Times New Roman" w:eastAsia="黑体"/>
          <w:b w:val="0"/>
          <w:color w:val="auto"/>
          <w:highlight w:val="none"/>
          <w:lang w:eastAsia="zh-CN"/>
        </w:rPr>
        <w:t>职责</w:t>
      </w:r>
    </w:p>
    <w:p w14:paraId="46C1A9F9">
      <w:pPr>
        <w:spacing w:before="0" w:after="0" w:line="520" w:lineRule="auto"/>
        <w:ind w:left="0" w:right="0" w:firstLine="640"/>
        <w:jc w:val="both"/>
        <w:rPr>
          <w:rFonts w:hint="eastAsia"/>
          <w:lang w:eastAsia="zh-CN"/>
        </w:rPr>
      </w:pPr>
      <w:r>
        <w:rPr>
          <w:rFonts w:hint="eastAsia" w:ascii="仿宋_GB2312" w:hAnsi="仿宋_GB2312" w:eastAsia="仿宋_GB2312" w:cs="仿宋_GB2312"/>
          <w:color w:val="000000"/>
          <w:kern w:val="0"/>
          <w:sz w:val="32"/>
          <w:szCs w:val="32"/>
        </w:rPr>
        <w:t>制定公共资源现场交易管理办法和各项业务操作规程；负责承担公共资源交易服务平台、专家库、公共资源数据库系统的建设、维护和管理工作；核验参与公共资源交易活动各方主体资格和进场交易项目相关手续；为建设工程招投标、政府采购、国有土地矿权交易、国有资产等公共资源交易活动提供场所、设施、信息和现场管理服务；负责按规定实施现场秩序管理和监督工作，为相关行业部门监管提供协助，建立公共资源现场交易信用和纪律档案；收集、存储和发布公共资源信息，整理、保存交易过程中的相关资料备查；根据相关规定和委托，承担政府集中采购的事务性工作；负责公共资源交易投标保证金、履约保证金、竞买保证金的收退工作</w:t>
      </w:r>
      <w:r>
        <w:rPr>
          <w:rFonts w:hint="eastAsia" w:ascii="仿宋_GB2312" w:hAnsi="仿宋_GB2312" w:eastAsia="仿宋_GB2312" w:cs="仿宋_GB2312"/>
          <w:color w:val="000000"/>
          <w:kern w:val="0"/>
          <w:sz w:val="32"/>
          <w:szCs w:val="32"/>
          <w:lang w:eastAsia="zh-CN"/>
        </w:rPr>
        <w:t>。</w:t>
      </w:r>
    </w:p>
    <w:p w14:paraId="642208DD">
      <w:pPr>
        <w:pStyle w:val="6"/>
        <w:keepNext/>
        <w:keepLines/>
        <w:pageBreakBefore w:val="0"/>
        <w:widowControl w:val="0"/>
        <w:numPr>
          <w:ilvl w:val="0"/>
          <w:numId w:val="0"/>
        </w:numPr>
        <w:kinsoku/>
        <w:wordWrap/>
        <w:overflowPunct/>
        <w:topLinePunct w:val="0"/>
        <w:autoSpaceDE/>
        <w:autoSpaceDN/>
        <w:bidi w:val="0"/>
        <w:adjustRightInd/>
        <w:snapToGrid/>
        <w:spacing w:before="0" w:after="0" w:line="416" w:lineRule="auto"/>
        <w:ind w:firstLine="640" w:firstLineChars="200"/>
        <w:textAlignment w:val="auto"/>
        <w:rPr>
          <w:rFonts w:hint="eastAsia" w:ascii="Times New Roman" w:hAnsi="Times New Roman" w:eastAsia="黑体"/>
          <w:b w:val="0"/>
          <w:color w:val="auto"/>
          <w:highlight w:val="none"/>
          <w:lang w:val="en-US" w:eastAsia="zh-CN"/>
        </w:rPr>
      </w:pPr>
      <w:bookmarkStart w:id="14" w:name="_Toc15396601"/>
      <w:bookmarkStart w:id="15" w:name="_Toc15377200"/>
      <w:r>
        <w:rPr>
          <w:rFonts w:hint="eastAsia" w:ascii="Times New Roman" w:hAnsi="Times New Roman" w:eastAsia="黑体"/>
          <w:b w:val="0"/>
          <w:color w:val="auto"/>
          <w:highlight w:val="none"/>
          <w:lang w:val="en-US" w:eastAsia="zh-CN"/>
        </w:rPr>
        <w:t>二、机构设置</w:t>
      </w:r>
      <w:bookmarkEnd w:id="14"/>
      <w:bookmarkEnd w:id="15"/>
    </w:p>
    <w:p w14:paraId="3533B524">
      <w:pPr>
        <w:ind w:firstLine="800" w:firstLineChars="250"/>
        <w:rPr>
          <w:rFonts w:ascii="Times New Roman" w:hAnsi="Times New Roman" w:eastAsia="仿宋"/>
          <w:color w:val="auto"/>
          <w:kern w:val="0"/>
          <w:sz w:val="32"/>
          <w:szCs w:val="32"/>
          <w:highlight w:val="none"/>
        </w:rPr>
      </w:pPr>
      <w:r>
        <w:rPr>
          <w:rFonts w:hint="eastAsia" w:ascii="仿宋_GB2312" w:hAnsi="仿宋_GB2312" w:eastAsia="仿宋_GB2312" w:cs="仿宋_GB2312"/>
          <w:color w:val="auto"/>
          <w:sz w:val="32"/>
          <w:szCs w:val="32"/>
          <w:highlight w:val="none"/>
        </w:rPr>
        <w:t>攀枝花市公共资源交易服务中心</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r>
        <w:rPr>
          <w:rFonts w:ascii="Times New Roman" w:hAnsi="Times New Roman" w:eastAsia="仿宋"/>
          <w:color w:val="auto"/>
          <w:sz w:val="32"/>
          <w:szCs w:val="32"/>
          <w:highlight w:val="none"/>
        </w:rPr>
        <w:br w:type="page"/>
      </w:r>
    </w:p>
    <w:p w14:paraId="3B9ED3FE">
      <w:pPr>
        <w:pStyle w:val="5"/>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2025年度单位</w:t>
      </w:r>
      <w:r>
        <w:rPr>
          <w:rFonts w:hint="eastAsia" w:ascii="Times New Roman" w:hAnsi="Times New Roman" w:eastAsia="方正小标宋简体" w:cs="方正小标宋简体"/>
          <w:b w:val="0"/>
          <w:color w:val="auto"/>
          <w:highlight w:val="none"/>
        </w:rPr>
        <w:t>决算情况说明</w:t>
      </w:r>
      <w:bookmarkEnd w:id="16"/>
      <w:bookmarkEnd w:id="17"/>
    </w:p>
    <w:p w14:paraId="26279C29">
      <w:pPr>
        <w:rPr>
          <w:rFonts w:ascii="Times New Roman" w:hAnsi="Times New Roman"/>
          <w:color w:val="auto"/>
          <w:highlight w:val="none"/>
        </w:rPr>
      </w:pPr>
    </w:p>
    <w:p w14:paraId="0B4F123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p>
    <w:p w14:paraId="55F9C81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sz w:val="32"/>
          <w:szCs w:val="32"/>
          <w:highlight w:val="none"/>
        </w:rPr>
        <w:t>万元。与</w:t>
      </w:r>
      <w:r>
        <w:rPr>
          <w:rFonts w:hint="eastAsia" w:eastAsia="仿宋_GB2312" w:cs="仿宋_GB2312"/>
          <w:color w:val="auto"/>
          <w:sz w:val="32"/>
          <w:szCs w:val="32"/>
          <w:highlight w:val="none"/>
          <w:lang w:eastAsia="zh-CN"/>
        </w:rPr>
        <w:t>上</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26.97</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4.45</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为：</w:t>
      </w:r>
      <w:r>
        <w:rPr>
          <w:rFonts w:hint="eastAsia" w:eastAsia="仿宋_GB2312" w:cs="仿宋_GB2312"/>
          <w:sz w:val="32"/>
          <w:szCs w:val="32"/>
          <w:lang w:val="en-US" w:eastAsia="zh-CN"/>
        </w:rPr>
        <w:t>增加职工人数、增加暗标盲评设备购置费，导致</w:t>
      </w:r>
      <w:r>
        <w:rPr>
          <w:rFonts w:hint="eastAsia" w:eastAsia="仿宋_GB2312" w:cs="仿宋_GB2312"/>
          <w:color w:val="auto"/>
          <w:sz w:val="32"/>
          <w:szCs w:val="32"/>
          <w:highlight w:val="none"/>
          <w:lang w:val="en-US" w:eastAsia="zh-CN"/>
        </w:rPr>
        <w:t>支出增加</w:t>
      </w:r>
      <w:r>
        <w:rPr>
          <w:rFonts w:hint="eastAsia" w:ascii="Times New Roman" w:hAnsi="Times New Roman" w:eastAsia="仿宋_GB2312" w:cs="仿宋_GB2312"/>
          <w:color w:val="auto"/>
          <w:sz w:val="32"/>
          <w:szCs w:val="32"/>
          <w:highlight w:val="none"/>
          <w:lang w:val="en-US" w:eastAsia="zh-CN"/>
        </w:rPr>
        <w:t>。</w:t>
      </w:r>
    </w:p>
    <w:p w14:paraId="7E6B12C7">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1"/>
        <w:rPr>
          <w:rFonts w:hint="eastAsia" w:ascii="Times New Roman" w:hAnsi="Times New Roman" w:eastAsia="仿宋_GB2312" w:cs="仿宋_GB2312"/>
          <w:color w:val="FF0000"/>
          <w:sz w:val="32"/>
          <w:szCs w:val="32"/>
          <w:highlight w:val="none"/>
          <w:lang w:eastAsia="zh-CN"/>
        </w:rPr>
      </w:pPr>
      <w:r>
        <w:rPr>
          <w:rFonts w:hint="eastAsia" w:ascii="Times New Roman" w:hAnsi="Times New Roman" w:eastAsia="仿宋_GB2312" w:cs="仿宋_GB2312"/>
          <w:color w:val="FF0000"/>
          <w:sz w:val="32"/>
          <w:szCs w:val="32"/>
          <w:highlight w:val="none"/>
          <w:lang w:eastAsia="zh-CN"/>
        </w:rPr>
        <w:drawing>
          <wp:inline distT="0" distB="0" distL="114300" distR="114300">
            <wp:extent cx="5273675" cy="3752850"/>
            <wp:effectExtent l="0" t="0" r="3175" b="0"/>
            <wp:docPr id="9" name="图片 9"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1"/>
                    <pic:cNvPicPr>
                      <a:picLocks noChangeAspect="1"/>
                    </pic:cNvPicPr>
                  </pic:nvPicPr>
                  <pic:blipFill>
                    <a:blip r:embed="rId11"/>
                    <a:stretch>
                      <a:fillRect/>
                    </a:stretch>
                  </pic:blipFill>
                  <pic:spPr>
                    <a:xfrm>
                      <a:off x="0" y="0"/>
                      <a:ext cx="5273675" cy="3752850"/>
                    </a:xfrm>
                    <a:prstGeom prst="rect">
                      <a:avLst/>
                    </a:prstGeom>
                  </pic:spPr>
                </pic:pic>
              </a:graphicData>
            </a:graphic>
          </wp:inline>
        </w:drawing>
      </w:r>
    </w:p>
    <w:p w14:paraId="2AD3A94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14:paraId="70D827A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5396604"/>
      <w:r>
        <w:rPr>
          <w:rFonts w:hint="eastAsia" w:ascii="Times New Roman" w:hAnsi="Times New Roman" w:eastAsia="黑体"/>
          <w:color w:val="auto"/>
          <w:sz w:val="32"/>
          <w:szCs w:val="32"/>
          <w:highlight w:val="none"/>
          <w:lang w:eastAsia="zh-CN"/>
        </w:rPr>
        <w:t>二、收入决算情况说明</w:t>
      </w:r>
      <w:bookmarkEnd w:id="20"/>
      <w:bookmarkEnd w:id="21"/>
    </w:p>
    <w:p w14:paraId="2CA06C2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本年收入合计</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eastAsia="zh-CN"/>
        </w:rPr>
        <w:t>。</w:t>
      </w:r>
    </w:p>
    <w:p w14:paraId="52E0EE71">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399915" cy="3159760"/>
            <wp:effectExtent l="0" t="0" r="635" b="2540"/>
            <wp:docPr id="4" name="图片 4"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2"/>
                    <pic:cNvPicPr>
                      <a:picLocks noChangeAspect="1"/>
                    </pic:cNvPicPr>
                  </pic:nvPicPr>
                  <pic:blipFill>
                    <a:blip r:embed="rId12"/>
                    <a:stretch>
                      <a:fillRect/>
                    </a:stretch>
                  </pic:blipFill>
                  <pic:spPr>
                    <a:xfrm>
                      <a:off x="0" y="0"/>
                      <a:ext cx="4399915" cy="3159760"/>
                    </a:xfrm>
                    <a:prstGeom prst="rect">
                      <a:avLst/>
                    </a:prstGeom>
                  </pic:spPr>
                </pic:pic>
              </a:graphicData>
            </a:graphic>
          </wp:inline>
        </w:drawing>
      </w:r>
    </w:p>
    <w:p w14:paraId="546C638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p>
    <w:p w14:paraId="3B30617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96605"/>
      <w:bookmarkStart w:id="2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14:paraId="7C4A871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b/>
          <w:bCs/>
          <w:color w:val="FF0000"/>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本年支出合计</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380.98</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60.23</w:t>
      </w:r>
      <w:r>
        <w:rPr>
          <w:rFonts w:hint="eastAsia" w:ascii="Times New Roman" w:hAnsi="Times New Roman"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251.48</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39.76</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eastAsia="zh-CN"/>
        </w:rPr>
        <w:t>。</w:t>
      </w:r>
    </w:p>
    <w:p w14:paraId="3F381F74">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682490" cy="3204210"/>
            <wp:effectExtent l="0" t="0" r="3810" b="15240"/>
            <wp:docPr id="5" name="图片 5"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3"/>
                    <pic:cNvPicPr>
                      <a:picLocks noChangeAspect="1"/>
                    </pic:cNvPicPr>
                  </pic:nvPicPr>
                  <pic:blipFill>
                    <a:blip r:embed="rId13"/>
                    <a:stretch>
                      <a:fillRect/>
                    </a:stretch>
                  </pic:blipFill>
                  <pic:spPr>
                    <a:xfrm>
                      <a:off x="0" y="0"/>
                      <a:ext cx="4682490" cy="3204210"/>
                    </a:xfrm>
                    <a:prstGeom prst="rect">
                      <a:avLst/>
                    </a:prstGeom>
                  </pic:spPr>
                </pic:pic>
              </a:graphicData>
            </a:graphic>
          </wp:inline>
        </w:drawing>
      </w:r>
    </w:p>
    <w:p w14:paraId="4144F62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14:paraId="13B79DD2">
      <w:pPr>
        <w:spacing w:line="600" w:lineRule="exact"/>
        <w:ind w:firstLine="640" w:firstLineChars="200"/>
        <w:outlineLvl w:val="1"/>
        <w:rPr>
          <w:rStyle w:val="30"/>
          <w:rFonts w:ascii="Times New Roman" w:hAnsi="Times New Roman" w:eastAsia="黑体"/>
          <w:b w:val="0"/>
          <w:color w:val="auto"/>
          <w:highlight w:val="none"/>
        </w:rPr>
      </w:pPr>
      <w:bookmarkStart w:id="24" w:name="_Toc15396606"/>
      <w:bookmarkStart w:id="25"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14:paraId="00C99FC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FF0000"/>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年度相比，财政拨款收入、支出总计各增加</w:t>
      </w:r>
      <w:r>
        <w:rPr>
          <w:rFonts w:hint="eastAsia" w:eastAsia="仿宋_GB2312" w:cs="仿宋_GB2312"/>
          <w:color w:val="auto"/>
          <w:sz w:val="32"/>
          <w:szCs w:val="32"/>
          <w:highlight w:val="none"/>
          <w:lang w:val="en-US" w:eastAsia="zh-CN"/>
        </w:rPr>
        <w:t>26.97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sz w:val="32"/>
          <w:szCs w:val="32"/>
          <w:highlight w:val="none"/>
          <w:lang w:val="en-US" w:eastAsia="zh-CN"/>
        </w:rPr>
        <w:t>4.45</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为：</w:t>
      </w:r>
      <w:r>
        <w:rPr>
          <w:rFonts w:hint="eastAsia" w:eastAsia="仿宋_GB2312" w:cs="仿宋_GB2312"/>
          <w:sz w:val="32"/>
          <w:szCs w:val="32"/>
          <w:lang w:val="en-US" w:eastAsia="zh-CN"/>
        </w:rPr>
        <w:t>增加职工人数、增加暗标盲评设备购置费，导致</w:t>
      </w:r>
      <w:r>
        <w:rPr>
          <w:rFonts w:hint="eastAsia" w:eastAsia="仿宋_GB2312" w:cs="仿宋_GB2312"/>
          <w:color w:val="auto"/>
          <w:sz w:val="32"/>
          <w:szCs w:val="32"/>
          <w:highlight w:val="none"/>
          <w:lang w:val="en-US" w:eastAsia="zh-CN"/>
        </w:rPr>
        <w:t>支出增加</w:t>
      </w:r>
      <w:r>
        <w:rPr>
          <w:rFonts w:hint="eastAsia" w:ascii="Times New Roman" w:hAnsi="Times New Roman" w:eastAsia="仿宋_GB2312" w:cs="仿宋_GB2312"/>
          <w:color w:val="auto"/>
          <w:sz w:val="32"/>
          <w:szCs w:val="32"/>
          <w:highlight w:val="none"/>
          <w:lang w:val="en-US" w:eastAsia="zh-CN"/>
        </w:rPr>
        <w:t>。</w:t>
      </w:r>
    </w:p>
    <w:p w14:paraId="4B6FC9E3">
      <w:pPr>
        <w:pStyle w:val="2"/>
        <w:rPr>
          <w:rFonts w:hint="eastAsia"/>
          <w:lang w:val="en-US" w:eastAsia="zh-CN"/>
        </w:rPr>
      </w:pPr>
    </w:p>
    <w:p w14:paraId="306248BC">
      <w:pPr>
        <w:pStyle w:val="3"/>
        <w:ind w:left="0" w:leftChars="0" w:firstLine="0" w:firstLineChars="0"/>
        <w:rPr>
          <w:rFonts w:hint="eastAsia"/>
          <w:lang w:val="en-US" w:eastAsia="zh-CN"/>
        </w:rPr>
      </w:pPr>
      <w:r>
        <w:rPr>
          <w:rFonts w:hint="eastAsia"/>
          <w:lang w:val="en-US" w:eastAsia="zh-CN"/>
        </w:rPr>
        <w:drawing>
          <wp:inline distT="0" distB="0" distL="114300" distR="114300">
            <wp:extent cx="5330190" cy="3287395"/>
            <wp:effectExtent l="0" t="0" r="3810" b="8255"/>
            <wp:docPr id="8" name="图片 8"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4"/>
                    <pic:cNvPicPr>
                      <a:picLocks noChangeAspect="1"/>
                    </pic:cNvPicPr>
                  </pic:nvPicPr>
                  <pic:blipFill>
                    <a:blip r:embed="rId14"/>
                    <a:stretch>
                      <a:fillRect/>
                    </a:stretch>
                  </pic:blipFill>
                  <pic:spPr>
                    <a:xfrm>
                      <a:off x="0" y="0"/>
                      <a:ext cx="5330190" cy="3287395"/>
                    </a:xfrm>
                    <a:prstGeom prst="rect">
                      <a:avLst/>
                    </a:prstGeom>
                  </pic:spPr>
                </pic:pic>
              </a:graphicData>
            </a:graphic>
          </wp:inline>
        </w:drawing>
      </w:r>
    </w:p>
    <w:p w14:paraId="07A77153">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p>
    <w:p w14:paraId="76EBEC0F">
      <w:pPr>
        <w:spacing w:line="600" w:lineRule="exact"/>
        <w:ind w:firstLine="640" w:firstLineChars="200"/>
        <w:outlineLvl w:val="1"/>
        <w:rPr>
          <w:rStyle w:val="30"/>
          <w:rFonts w:ascii="Times New Roman" w:hAnsi="Times New Roman" w:eastAsia="黑体"/>
          <w:b w:val="0"/>
          <w:color w:val="auto"/>
          <w:highlight w:val="none"/>
        </w:rPr>
      </w:pPr>
      <w:bookmarkStart w:id="26" w:name="_Toc15377209"/>
      <w:bookmarkStart w:id="2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14:paraId="6B7248A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58494BE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年度相比，一般公共预算财政拨款支出增加</w:t>
      </w:r>
      <w:r>
        <w:rPr>
          <w:rFonts w:hint="eastAsia" w:eastAsia="仿宋_GB2312" w:cs="仿宋_GB2312"/>
          <w:color w:val="auto"/>
          <w:sz w:val="32"/>
          <w:szCs w:val="32"/>
          <w:highlight w:val="none"/>
          <w:lang w:val="en-US" w:eastAsia="zh-CN"/>
        </w:rPr>
        <w:t>26.97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sz w:val="32"/>
          <w:szCs w:val="32"/>
          <w:highlight w:val="none"/>
          <w:lang w:val="en-US" w:eastAsia="zh-CN"/>
        </w:rPr>
        <w:t>4.45</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为：</w:t>
      </w:r>
      <w:r>
        <w:rPr>
          <w:rFonts w:hint="eastAsia" w:eastAsia="仿宋_GB2312" w:cs="仿宋_GB2312"/>
          <w:sz w:val="32"/>
          <w:szCs w:val="32"/>
          <w:lang w:val="en-US" w:eastAsia="zh-CN"/>
        </w:rPr>
        <w:t>增加职工人数、增加暗标盲评设备购置费，导致</w:t>
      </w:r>
      <w:r>
        <w:rPr>
          <w:rFonts w:hint="eastAsia" w:eastAsia="仿宋_GB2312" w:cs="仿宋_GB2312"/>
          <w:color w:val="auto"/>
          <w:sz w:val="32"/>
          <w:szCs w:val="32"/>
          <w:highlight w:val="none"/>
          <w:lang w:val="en-US" w:eastAsia="zh-CN"/>
        </w:rPr>
        <w:t>支出增加</w:t>
      </w:r>
      <w:r>
        <w:rPr>
          <w:rFonts w:hint="eastAsia" w:ascii="Times New Roman" w:hAnsi="Times New Roman" w:eastAsia="仿宋_GB2312" w:cs="仿宋_GB2312"/>
          <w:color w:val="auto"/>
          <w:sz w:val="32"/>
          <w:szCs w:val="32"/>
          <w:highlight w:val="none"/>
          <w:lang w:val="en-US" w:eastAsia="zh-CN"/>
        </w:rPr>
        <w:t>。</w:t>
      </w:r>
    </w:p>
    <w:p w14:paraId="02D01C00">
      <w:pPr>
        <w:spacing w:line="240" w:lineRule="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4529455" cy="2809240"/>
            <wp:effectExtent l="0" t="0" r="4445" b="10160"/>
            <wp:docPr id="1" name="图片 1"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5"/>
                    <pic:cNvPicPr>
                      <a:picLocks noChangeAspect="1"/>
                    </pic:cNvPicPr>
                  </pic:nvPicPr>
                  <pic:blipFill>
                    <a:blip r:embed="rId15"/>
                    <a:stretch>
                      <a:fillRect/>
                    </a:stretch>
                  </pic:blipFill>
                  <pic:spPr>
                    <a:xfrm>
                      <a:off x="0" y="0"/>
                      <a:ext cx="4529455" cy="2809240"/>
                    </a:xfrm>
                    <a:prstGeom prst="rect">
                      <a:avLst/>
                    </a:prstGeom>
                  </pic:spPr>
                </pic:pic>
              </a:graphicData>
            </a:graphic>
          </wp:inline>
        </w:drawing>
      </w:r>
    </w:p>
    <w:p w14:paraId="40AE37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p>
    <w:p w14:paraId="3D6D9F68">
      <w:pPr>
        <w:pStyle w:val="2"/>
        <w:rPr>
          <w:rFonts w:hint="eastAsia"/>
          <w:lang w:val="en-US" w:eastAsia="zh-CN"/>
        </w:rPr>
      </w:pPr>
    </w:p>
    <w:p w14:paraId="319AE67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76C70212">
      <w:pPr>
        <w:spacing w:line="600" w:lineRule="exact"/>
        <w:ind w:firstLine="640"/>
        <w:rPr>
          <w:rFonts w:hint="eastAsia"/>
          <w:lang w:val="en-US" w:eastAsia="zh-CN"/>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一般公共服务支出539.34万元，占</w:t>
      </w:r>
      <w:r>
        <w:rPr>
          <w:rFonts w:hint="eastAsia" w:eastAsia="仿宋_GB2312" w:cs="仿宋_GB2312"/>
          <w:color w:val="auto"/>
          <w:kern w:val="2"/>
          <w:sz w:val="32"/>
          <w:szCs w:val="32"/>
          <w:highlight w:val="none"/>
          <w:lang w:val="en-US" w:eastAsia="zh-CN" w:bidi="ar-SA"/>
        </w:rPr>
        <w:t>85.28</w:t>
      </w:r>
      <w:r>
        <w:rPr>
          <w:rFonts w:hint="eastAsia" w:ascii="Times New Roman" w:hAnsi="Times New Roman" w:eastAsia="仿宋_GB2312" w:cs="仿宋_GB2312"/>
          <w:color w:val="auto"/>
          <w:kern w:val="2"/>
          <w:sz w:val="32"/>
          <w:szCs w:val="32"/>
          <w:highlight w:val="none"/>
          <w:lang w:val="en-US" w:eastAsia="zh-CN" w:bidi="ar-SA"/>
        </w:rPr>
        <w:t>%；社会保障和就业支出42.41万元，占</w:t>
      </w:r>
      <w:r>
        <w:rPr>
          <w:rFonts w:hint="eastAsia" w:eastAsia="仿宋_GB2312" w:cs="仿宋_GB2312"/>
          <w:color w:val="auto"/>
          <w:kern w:val="2"/>
          <w:sz w:val="32"/>
          <w:szCs w:val="32"/>
          <w:highlight w:val="none"/>
          <w:lang w:val="en-US" w:eastAsia="zh-CN" w:bidi="ar-SA"/>
        </w:rPr>
        <w:t>6.70</w:t>
      </w:r>
      <w:r>
        <w:rPr>
          <w:rFonts w:hint="eastAsia" w:ascii="Times New Roman" w:hAnsi="Times New Roman" w:eastAsia="仿宋_GB2312" w:cs="仿宋_GB2312"/>
          <w:color w:val="auto"/>
          <w:kern w:val="2"/>
          <w:sz w:val="32"/>
          <w:szCs w:val="32"/>
          <w:highlight w:val="none"/>
          <w:lang w:val="en-US" w:eastAsia="zh-CN" w:bidi="ar-SA"/>
        </w:rPr>
        <w:t>%；卫生健康支出23.07万元，占</w:t>
      </w:r>
      <w:r>
        <w:rPr>
          <w:rFonts w:hint="eastAsia" w:eastAsia="仿宋_GB2312" w:cs="仿宋_GB2312"/>
          <w:color w:val="auto"/>
          <w:kern w:val="2"/>
          <w:sz w:val="32"/>
          <w:szCs w:val="32"/>
          <w:highlight w:val="none"/>
          <w:lang w:val="en-US" w:eastAsia="zh-CN" w:bidi="ar-SA"/>
        </w:rPr>
        <w:t>3.65</w:t>
      </w:r>
      <w:r>
        <w:rPr>
          <w:rFonts w:hint="eastAsia" w:ascii="Times New Roman" w:hAnsi="Times New Roman" w:eastAsia="仿宋_GB2312" w:cs="仿宋_GB2312"/>
          <w:color w:val="auto"/>
          <w:kern w:val="2"/>
          <w:sz w:val="32"/>
          <w:szCs w:val="32"/>
          <w:highlight w:val="none"/>
          <w:lang w:val="en-US" w:eastAsia="zh-CN" w:bidi="ar-SA"/>
        </w:rPr>
        <w:t>%；住房保障支出27.65万元，占</w:t>
      </w:r>
      <w:r>
        <w:rPr>
          <w:rFonts w:hint="eastAsia" w:eastAsia="仿宋_GB2312" w:cs="仿宋_GB2312"/>
          <w:color w:val="auto"/>
          <w:kern w:val="2"/>
          <w:sz w:val="32"/>
          <w:szCs w:val="32"/>
          <w:highlight w:val="none"/>
          <w:lang w:val="en-US" w:eastAsia="zh-CN" w:bidi="ar-SA"/>
        </w:rPr>
        <w:t>4.37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ADF1EC1">
      <w:pPr>
        <w:spacing w:line="240" w:lineRule="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3947160" cy="2861310"/>
            <wp:effectExtent l="0" t="0" r="15240" b="15240"/>
            <wp:docPr id="3" name="图片 3"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6"/>
                    <pic:cNvPicPr>
                      <a:picLocks noChangeAspect="1"/>
                    </pic:cNvPicPr>
                  </pic:nvPicPr>
                  <pic:blipFill>
                    <a:blip r:embed="rId16"/>
                    <a:stretch>
                      <a:fillRect/>
                    </a:stretch>
                  </pic:blipFill>
                  <pic:spPr>
                    <a:xfrm>
                      <a:off x="0" y="0"/>
                      <a:ext cx="3947160" cy="2861310"/>
                    </a:xfrm>
                    <a:prstGeom prst="rect">
                      <a:avLst/>
                    </a:prstGeom>
                  </pic:spPr>
                </pic:pic>
              </a:graphicData>
            </a:graphic>
          </wp:inline>
        </w:drawing>
      </w:r>
    </w:p>
    <w:p w14:paraId="36C17DF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p>
    <w:p w14:paraId="1E8A4975">
      <w:pPr>
        <w:pStyle w:val="2"/>
        <w:rPr>
          <w:rFonts w:hint="eastAsia"/>
          <w:lang w:val="en-US" w:eastAsia="zh-CN"/>
        </w:rPr>
      </w:pPr>
    </w:p>
    <w:p w14:paraId="333F8B6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26315F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8460"/>
      <w:bookmarkStart w:id="32" w:name="_Toc15377444"/>
      <w:bookmarkStart w:id="33" w:name="_Toc15377213"/>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一般公共预算支出决算数为</w:t>
      </w:r>
      <w:r>
        <w:rPr>
          <w:rFonts w:hint="eastAsia" w:ascii="仿宋_GB2312" w:hAnsi="仿宋_GB2312" w:eastAsia="仿宋_GB2312" w:cs="仿宋_GB2312"/>
          <w:sz w:val="32"/>
          <w:szCs w:val="32"/>
        </w:rPr>
        <w:t>632.46</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2A480B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一般公共服务（类）人大事务（款）事业运行（项）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支出决算为9.69万元，完成预算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C2655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支出决算为251.48万元，完成预算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1D4AA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支出决算为268.92万元，完成预算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47F4CB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一般公共服务（类）组织事务（款）事业运行（项）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支出决算为9.25万元，完成预算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69B787C">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5.社会保障和就业（类）行政事业单位养老支出（款）事业单位离退休（项）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支出决算为5.15万元，完成预算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0579EE0D">
      <w:pPr>
        <w:spacing w:line="600" w:lineRule="exact"/>
        <w:ind w:firstLine="640"/>
        <w:rPr>
          <w:rFonts w:hint="eastAsia"/>
          <w:lang w:val="en-US" w:eastAsia="zh-CN"/>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.社会保障和就业（类）行政事业单位养老支出（款）机关事业单位基本养老保险缴费支出（项）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支出决算为37.26万元，完成预算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67AAF5D">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.卫生健康（类）行政事业单位医疗（款）事业单位医疗（项）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支出决算为18.26万元，完成预算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26088BE">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.卫生健康（类）行政事业单位医疗（款）公务员医疗补助（项）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支出决算为4.81万元，完成预算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5E9551D6">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9.住房保障支出（类）住房改革支出（款）住房公积金（项）：支出决算为27.65万元，完成预算100%。</w:t>
      </w:r>
    </w:p>
    <w:p w14:paraId="2B0EBD9B">
      <w:pPr>
        <w:tabs>
          <w:tab w:val="right" w:pos="8306"/>
        </w:tabs>
        <w:spacing w:line="600" w:lineRule="exact"/>
        <w:ind w:firstLine="640"/>
        <w:outlineLvl w:val="1"/>
        <w:rPr>
          <w:rStyle w:val="30"/>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14:paraId="261DADE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ascii="仿宋_GB2312" w:hAnsi="仿宋_GB2312" w:eastAsia="仿宋_GB2312" w:cs="仿宋_GB2312"/>
          <w:sz w:val="32"/>
          <w:szCs w:val="32"/>
        </w:rPr>
        <w:t>380.98</w:t>
      </w:r>
      <w:r>
        <w:rPr>
          <w:rFonts w:hint="eastAsia" w:ascii="Times New Roman" w:hAnsi="Times New Roman" w:eastAsia="仿宋_GB2312" w:cs="仿宋_GB2312"/>
          <w:color w:val="auto"/>
          <w:kern w:val="2"/>
          <w:sz w:val="32"/>
          <w:szCs w:val="32"/>
          <w:highlight w:val="none"/>
          <w:lang w:val="en-US" w:eastAsia="zh-CN" w:bidi="ar-SA"/>
        </w:rPr>
        <w:t>万元，其中：</w:t>
      </w:r>
    </w:p>
    <w:p w14:paraId="1F56D7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349.2</w:t>
      </w:r>
      <w:r>
        <w:rPr>
          <w:rFonts w:hint="eastAsia" w:ascii="仿宋_GB2312" w:hAnsi="仿宋_GB2312" w:eastAsia="仿宋_GB2312" w:cs="仿宋_GB2312"/>
          <w:sz w:val="32"/>
          <w:szCs w:val="32"/>
          <w:lang w:val="en-US" w:eastAsia="zh-CN"/>
        </w:rPr>
        <w:t>1</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万元，主要包括：基本工资、津贴补贴、绩效工资、机关事业单位基本养老保险缴费、其他社会保障缴费、其他工资福利支出、生活补助、医疗费补助、奖励金、住房公积金等。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31.77</w:t>
      </w:r>
      <w:r>
        <w:rPr>
          <w:rFonts w:hint="eastAsia" w:ascii="Times New Roman" w:hAnsi="Times New Roman" w:eastAsia="仿宋_GB2312" w:cs="仿宋_GB2312"/>
          <w:color w:val="auto"/>
          <w:kern w:val="2"/>
          <w:sz w:val="32"/>
          <w:szCs w:val="32"/>
          <w:highlight w:val="none"/>
          <w:lang w:val="en-US" w:eastAsia="zh-CN" w:bidi="ar-SA"/>
        </w:rPr>
        <w:t>万元，主要包括：办公费、邮电费、差旅费、劳务费、工会经费、福利费、公务用车运行维护费、其他交通费、其他商品和服务支出、办公设备购置等。</w:t>
      </w:r>
    </w:p>
    <w:p w14:paraId="009A4E2A">
      <w:pPr>
        <w:spacing w:line="600" w:lineRule="exact"/>
        <w:ind w:firstLine="640"/>
        <w:outlineLvl w:val="1"/>
        <w:rPr>
          <w:rStyle w:val="30"/>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14:paraId="65BCB79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38"/>
    </w:p>
    <w:p w14:paraId="4C009D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财政拨款“三公”经费支出决算为</w:t>
      </w:r>
      <w:r>
        <w:rPr>
          <w:rFonts w:hint="eastAsia" w:ascii="仿宋_GB2312" w:hAnsi="仿宋_GB2312" w:eastAsia="仿宋_GB2312" w:cs="仿宋_GB2312"/>
          <w:sz w:val="32"/>
          <w:szCs w:val="32"/>
        </w:rPr>
        <w:t>1.06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0.46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76.67</w:t>
      </w:r>
      <w:r>
        <w:rPr>
          <w:rFonts w:hint="eastAsia" w:ascii="Times New Roman" w:hAnsi="Times New Roman" w:eastAsia="仿宋_GB2312" w:cs="仿宋_GB2312"/>
          <w:color w:val="auto"/>
          <w:kern w:val="2"/>
          <w:sz w:val="32"/>
          <w:szCs w:val="32"/>
          <w:highlight w:val="none"/>
          <w:lang w:val="en-US" w:eastAsia="zh-CN" w:bidi="ar-SA"/>
        </w:rPr>
        <w:t>%。</w:t>
      </w:r>
    </w:p>
    <w:p w14:paraId="5DB938C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39"/>
    </w:p>
    <w:p w14:paraId="421432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财政拨款“三公”经费支出决算中，因公出国（境）费支出决算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ascii="仿宋_GB2312" w:hAnsi="仿宋_GB2312" w:eastAsia="仿宋_GB2312" w:cs="仿宋_GB2312"/>
          <w:sz w:val="32"/>
          <w:szCs w:val="32"/>
        </w:rPr>
        <w:t>1.06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%。具体情况如下：</w:t>
      </w:r>
    </w:p>
    <w:p w14:paraId="72D8F29A">
      <w:pPr>
        <w:pStyle w:val="3"/>
        <w:ind w:left="0" w:leftChars="0" w:firstLine="0" w:firstLineChars="0"/>
        <w:rPr>
          <w:rFonts w:hint="eastAsia"/>
          <w:lang w:val="en-US" w:eastAsia="zh-CN"/>
        </w:rPr>
      </w:pPr>
      <w:r>
        <w:rPr>
          <w:rFonts w:hint="eastAsia"/>
          <w:lang w:val="en-US" w:eastAsia="zh-CN"/>
        </w:rPr>
        <w:drawing>
          <wp:inline distT="0" distB="0" distL="114300" distR="114300">
            <wp:extent cx="4733925" cy="3093085"/>
            <wp:effectExtent l="0" t="0" r="9525" b="12065"/>
            <wp:docPr id="2" name="图片 2" descr="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7"/>
                    <pic:cNvPicPr>
                      <a:picLocks noChangeAspect="1"/>
                    </pic:cNvPicPr>
                  </pic:nvPicPr>
                  <pic:blipFill>
                    <a:blip r:embed="rId17"/>
                    <a:stretch>
                      <a:fillRect/>
                    </a:stretch>
                  </pic:blipFill>
                  <pic:spPr>
                    <a:xfrm>
                      <a:off x="0" y="0"/>
                      <a:ext cx="4733925" cy="3093085"/>
                    </a:xfrm>
                    <a:prstGeom prst="rect">
                      <a:avLst/>
                    </a:prstGeom>
                  </pic:spPr>
                </pic:pic>
              </a:graphicData>
            </a:graphic>
          </wp:inline>
        </w:drawing>
      </w:r>
    </w:p>
    <w:p w14:paraId="2CA2B2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（图7：财政拨款“三公”经费支出结构）</w:t>
      </w:r>
    </w:p>
    <w:p w14:paraId="542FABD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人。因公出国（境）支出决算</w:t>
      </w:r>
      <w:r>
        <w:rPr>
          <w:rFonts w:hint="eastAsia" w:eastAsia="仿宋_GB2312" w:cs="仿宋_GB2312"/>
          <w:color w:val="auto"/>
          <w:kern w:val="2"/>
          <w:sz w:val="32"/>
          <w:szCs w:val="32"/>
          <w:highlight w:val="none"/>
          <w:lang w:val="en-US" w:eastAsia="zh-CN" w:bidi="ar-SA"/>
        </w:rPr>
        <w:t>与上年度持平。</w:t>
      </w:r>
    </w:p>
    <w:p w14:paraId="3AF61ED3">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1.06</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w:t>
      </w:r>
      <w:r>
        <w:rPr>
          <w:rFonts w:hint="eastAsia" w:eastAsia="仿宋_GB2312" w:cs="仿宋_GB2312"/>
          <w:color w:val="auto"/>
          <w:kern w:val="2"/>
          <w:sz w:val="32"/>
          <w:szCs w:val="32"/>
          <w:highlight w:val="none"/>
          <w:lang w:val="en-US" w:eastAsia="zh-CN" w:bidi="ar-SA"/>
        </w:rPr>
        <w:t>上年度</w:t>
      </w:r>
      <w:r>
        <w:rPr>
          <w:rFonts w:hint="eastAsia" w:ascii="Times New Roman" w:hAnsi="Times New Roman" w:eastAsia="仿宋_GB2312" w:cs="仿宋_GB2312"/>
          <w:color w:val="auto"/>
          <w:kern w:val="2"/>
          <w:sz w:val="32"/>
          <w:szCs w:val="32"/>
          <w:highlight w:val="none"/>
          <w:lang w:val="en-US" w:eastAsia="zh-CN" w:bidi="ar-SA"/>
        </w:rPr>
        <w:t>增加</w:t>
      </w:r>
      <w:r>
        <w:rPr>
          <w:rFonts w:hint="eastAsia" w:eastAsia="仿宋_GB2312" w:cs="仿宋_GB2312"/>
          <w:color w:val="auto"/>
          <w:kern w:val="2"/>
          <w:sz w:val="32"/>
          <w:szCs w:val="32"/>
          <w:highlight w:val="none"/>
          <w:lang w:val="en-US" w:eastAsia="zh-CN" w:bidi="ar-SA"/>
        </w:rPr>
        <w:t>0.46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76.67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公务车老化，导致运行维护费增加。</w:t>
      </w:r>
    </w:p>
    <w:p w14:paraId="607AE4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1332282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1.06</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sz w:val="32"/>
          <w:szCs w:val="32"/>
        </w:rPr>
        <w:t>国有土地现场勘查</w:t>
      </w:r>
      <w:r>
        <w:rPr>
          <w:rFonts w:hint="eastAsia" w:eastAsia="仿宋_GB2312" w:cs="仿宋_GB2312"/>
          <w:sz w:val="32"/>
          <w:szCs w:val="32"/>
          <w:lang w:val="en-US" w:eastAsia="zh-CN"/>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7E960EA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与上</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。其中：</w:t>
      </w:r>
    </w:p>
    <w:p w14:paraId="1054CD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万元。国内公务接待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0D945E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bookmarkStart w:id="40" w:name="_Toc15396610"/>
      <w:bookmarkStart w:id="41" w:name="_Toc15377218"/>
    </w:p>
    <w:p w14:paraId="41EABB18">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14:paraId="1C3433B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政府性基金预算财政拨款支出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eastAsia="仿宋_GB2312" w:cs="仿宋_GB2312"/>
          <w:color w:val="auto"/>
          <w:kern w:val="2"/>
          <w:sz w:val="32"/>
          <w:szCs w:val="32"/>
          <w:highlight w:val="none"/>
          <w:lang w:val="en-US" w:eastAsia="zh-CN" w:bidi="ar-SA"/>
        </w:rPr>
        <w:t>与上</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w:t>
      </w:r>
    </w:p>
    <w:p w14:paraId="64E38DA6">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2" w:name="_Toc15396611"/>
      <w:bookmarkStart w:id="4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14:paraId="05D9679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国有资本经营预算财政拨款支出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年度相比，国有资本经营预算财政拨款支出</w:t>
      </w:r>
      <w:r>
        <w:rPr>
          <w:rFonts w:hint="eastAsia" w:eastAsia="仿宋_GB2312" w:cs="仿宋_GB2312"/>
          <w:color w:val="auto"/>
          <w:kern w:val="2"/>
          <w:sz w:val="32"/>
          <w:szCs w:val="32"/>
          <w:highlight w:val="none"/>
          <w:lang w:val="en-US" w:eastAsia="zh-CN" w:bidi="ar-SA"/>
        </w:rPr>
        <w:t>与上</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w:t>
      </w:r>
    </w:p>
    <w:p w14:paraId="2681B592">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4" w:name="_Toc15377221"/>
      <w:bookmarkStart w:id="45"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14:paraId="08230BE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7F6CD85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攀枝花市公共资源交易服务中心</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年度决算数持平。</w:t>
      </w:r>
    </w:p>
    <w:p w14:paraId="1EA7538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125D240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攀枝花市公共资源交易服务中心</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52.65</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6.68</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45.97</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国有建设用地（矿）文件印刷及宣传视频制作、</w:t>
      </w:r>
      <w:r>
        <w:rPr>
          <w:rFonts w:hint="eastAsia" w:eastAsia="仿宋_GB2312" w:cs="仿宋_GB2312"/>
          <w:sz w:val="32"/>
          <w:szCs w:val="32"/>
          <w:lang w:val="en-US" w:eastAsia="zh-CN"/>
        </w:rPr>
        <w:t>暗标盲评设备购置、</w:t>
      </w:r>
      <w:r>
        <w:rPr>
          <w:rFonts w:hint="eastAsia" w:ascii="仿宋_GB2312" w:hAnsi="仿宋_GB2312" w:eastAsia="仿宋_GB2312" w:cs="仿宋_GB2312"/>
          <w:sz w:val="32"/>
          <w:szCs w:val="32"/>
        </w:rPr>
        <w:t>公务车保险、加油、维修等</w:t>
      </w:r>
      <w:r>
        <w:rPr>
          <w:rFonts w:hint="eastAsia" w:ascii="Times New Roman" w:hAnsi="Times New Roman" w:eastAsia="仿宋_GB2312" w:cs="仿宋_GB2312"/>
          <w:color w:val="auto"/>
          <w:kern w:val="2"/>
          <w:sz w:val="32"/>
          <w:szCs w:val="32"/>
          <w:highlight w:val="none"/>
          <w:lang w:val="en-US" w:eastAsia="zh-CN" w:bidi="ar-SA"/>
        </w:rPr>
        <w:t>。授予中小企业合同金额</w:t>
      </w:r>
      <w:r>
        <w:rPr>
          <w:rFonts w:hint="eastAsia" w:ascii="仿宋_GB2312" w:hAnsi="仿宋_GB2312" w:eastAsia="仿宋_GB2312" w:cs="仿宋_GB2312"/>
          <w:sz w:val="32"/>
          <w:szCs w:val="32"/>
        </w:rPr>
        <w:t>52.12</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99</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52.12</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99</w:t>
      </w:r>
      <w:r>
        <w:rPr>
          <w:rFonts w:hint="eastAsia" w:ascii="Times New Roman" w:hAnsi="Times New Roman" w:eastAsia="仿宋_GB2312" w:cs="仿宋_GB2312"/>
          <w:color w:val="auto"/>
          <w:kern w:val="2"/>
          <w:sz w:val="32"/>
          <w:szCs w:val="32"/>
          <w:highlight w:val="none"/>
          <w:lang w:val="en-US" w:eastAsia="zh-CN" w:bidi="ar-SA"/>
        </w:rPr>
        <w:t>%。</w:t>
      </w:r>
    </w:p>
    <w:p w14:paraId="3E029FE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59871C2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ascii="仿宋_GB2312" w:hAnsi="仿宋_GB2312" w:eastAsia="仿宋_GB2312" w:cs="仿宋_GB2312"/>
          <w:sz w:val="32"/>
          <w:szCs w:val="32"/>
        </w:rPr>
        <w:t>攀枝花市公共资源交易服务中心</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辆，其中：副部（省）级及以上领导用车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辆、主要</w:t>
      </w:r>
      <w:r>
        <w:rPr>
          <w:rFonts w:hint="eastAsia" w:eastAsia="仿宋_GB2312" w:cs="仿宋_GB2312"/>
          <w:color w:val="auto"/>
          <w:kern w:val="2"/>
          <w:sz w:val="32"/>
          <w:szCs w:val="32"/>
          <w:highlight w:val="none"/>
          <w:lang w:val="en-US" w:eastAsia="zh-CN" w:bidi="ar-SA"/>
        </w:rPr>
        <w:t>负责人</w:t>
      </w:r>
      <w:r>
        <w:rPr>
          <w:rFonts w:hint="eastAsia" w:ascii="Times New Roman" w:hAnsi="Times New Roman" w:eastAsia="仿宋_GB2312" w:cs="仿宋_GB2312"/>
          <w:color w:val="auto"/>
          <w:kern w:val="2"/>
          <w:sz w:val="32"/>
          <w:szCs w:val="32"/>
          <w:highlight w:val="none"/>
          <w:lang w:val="en-US" w:eastAsia="zh-CN" w:bidi="ar-SA"/>
        </w:rPr>
        <w:t>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辆、特种专业技术用车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辆、离退休干部服务用车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ascii="仿宋_GB2312" w:hAnsi="仿宋_GB2312" w:eastAsia="仿宋_GB2312" w:cs="仿宋_GB2312"/>
          <w:sz w:val="32"/>
          <w:szCs w:val="32"/>
        </w:rPr>
        <w:t>国有土地现场勘查等</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台（套）。</w:t>
      </w:r>
    </w:p>
    <w:p w14:paraId="578D3C1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176239C">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color w:val="auto"/>
          <w:sz w:val="32"/>
          <w:szCs w:val="32"/>
        </w:rPr>
        <w:t>攀枝花市公共资源交易服务中心</w:t>
      </w:r>
      <w:r>
        <w:rPr>
          <w:rFonts w:hint="eastAsia" w:ascii="Times New Roman" w:hAnsi="Times New Roman" w:eastAsia="仿宋_GB2312" w:cs="仿宋_GB2312"/>
          <w:color w:val="auto"/>
          <w:kern w:val="2"/>
          <w:sz w:val="32"/>
          <w:szCs w:val="32"/>
          <w:highlight w:val="none"/>
          <w:lang w:val="en-US" w:eastAsia="zh-CN" w:bidi="ar-SA"/>
        </w:rPr>
        <w:t>在2025年度，组织对收入征管成本</w:t>
      </w:r>
      <w:r>
        <w:rPr>
          <w:rFonts w:hint="eastAsia" w:eastAsia="仿宋_GB2312" w:cs="仿宋_GB2312"/>
          <w:color w:val="auto"/>
          <w:kern w:val="2"/>
          <w:sz w:val="32"/>
          <w:szCs w:val="32"/>
          <w:highlight w:val="none"/>
          <w:lang w:val="en-US" w:eastAsia="zh-CN" w:bidi="ar-SA"/>
        </w:rPr>
        <w:t>、入驻政务中心单位租金物业费及水电费、暗标盲评</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个项目涉及金额</w:t>
      </w:r>
      <w:r>
        <w:rPr>
          <w:rFonts w:hint="eastAsia" w:eastAsia="仿宋_GB2312" w:cs="仿宋_GB2312"/>
          <w:color w:val="auto"/>
          <w:kern w:val="2"/>
          <w:sz w:val="32"/>
          <w:szCs w:val="32"/>
          <w:highlight w:val="none"/>
          <w:lang w:val="en-US" w:eastAsia="zh-CN" w:bidi="ar-SA"/>
        </w:rPr>
        <w:t>260.72</w:t>
      </w:r>
      <w:r>
        <w:rPr>
          <w:rFonts w:hint="eastAsia" w:ascii="Times New Roman" w:hAnsi="Times New Roman" w:eastAsia="仿宋_GB2312" w:cs="仿宋_GB2312"/>
          <w:color w:val="auto"/>
          <w:kern w:val="2"/>
          <w:sz w:val="32"/>
          <w:szCs w:val="32"/>
          <w:highlight w:val="none"/>
          <w:lang w:val="en-US" w:eastAsia="zh-CN" w:bidi="ar-SA"/>
        </w:rPr>
        <w:t>万元开展了事前绩效评估，对</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050044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46A190B">
      <w:pPr>
        <w:pStyle w:val="2"/>
        <w:rPr>
          <w:rFonts w:hint="eastAsia" w:ascii="Times New Roman" w:hAnsi="Times New Roman" w:eastAsia="仿宋_GB2312" w:cs="仿宋_GB2312"/>
          <w:color w:val="auto"/>
          <w:kern w:val="2"/>
          <w:sz w:val="32"/>
          <w:szCs w:val="32"/>
          <w:highlight w:val="none"/>
          <w:lang w:val="en-US" w:eastAsia="zh-CN" w:bidi="ar-SA"/>
        </w:rPr>
      </w:pPr>
    </w:p>
    <w:p w14:paraId="62ADF0B9">
      <w:pPr>
        <w:pStyle w:val="3"/>
        <w:rPr>
          <w:rFonts w:hint="eastAsia" w:ascii="Times New Roman" w:hAnsi="Times New Roman" w:eastAsia="仿宋_GB2312" w:cs="仿宋_GB2312"/>
          <w:color w:val="auto"/>
          <w:kern w:val="2"/>
          <w:sz w:val="32"/>
          <w:szCs w:val="32"/>
          <w:highlight w:val="none"/>
          <w:lang w:val="en-US" w:eastAsia="zh-CN" w:bidi="ar-SA"/>
        </w:rPr>
      </w:pPr>
    </w:p>
    <w:p w14:paraId="5E046DCC">
      <w:pPr>
        <w:rPr>
          <w:rFonts w:hint="eastAsia" w:ascii="Times New Roman" w:hAnsi="Times New Roman" w:eastAsia="仿宋_GB2312" w:cs="仿宋_GB2312"/>
          <w:color w:val="auto"/>
          <w:kern w:val="2"/>
          <w:sz w:val="32"/>
          <w:szCs w:val="32"/>
          <w:highlight w:val="none"/>
          <w:lang w:val="en-US" w:eastAsia="zh-CN" w:bidi="ar-SA"/>
        </w:rPr>
      </w:pPr>
    </w:p>
    <w:p w14:paraId="6BFAC6ED">
      <w:pPr>
        <w:pStyle w:val="2"/>
        <w:rPr>
          <w:rFonts w:hint="eastAsia"/>
          <w:lang w:val="en-US" w:eastAsia="zh-CN"/>
        </w:rPr>
      </w:pPr>
      <w:bookmarkStart w:id="67" w:name="_GoBack"/>
      <w:bookmarkEnd w:id="67"/>
    </w:p>
    <w:p w14:paraId="1CCD4B0E">
      <w:pPr>
        <w:pStyle w:val="3"/>
        <w:rPr>
          <w:rFonts w:hint="eastAsia"/>
          <w:lang w:val="en-US" w:eastAsia="zh-CN"/>
        </w:rPr>
      </w:pPr>
    </w:p>
    <w:p w14:paraId="481A2C03">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77225"/>
      <w:bookmarkStart w:id="50"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5A4DCB5E">
      <w:pPr>
        <w:spacing w:line="600" w:lineRule="exact"/>
        <w:jc w:val="left"/>
        <w:rPr>
          <w:rFonts w:ascii="Times New Roman" w:hAnsi="Times New Roman"/>
          <w:b/>
          <w:color w:val="auto"/>
          <w:sz w:val="44"/>
          <w:szCs w:val="44"/>
          <w:highlight w:val="none"/>
        </w:rPr>
      </w:pPr>
    </w:p>
    <w:p w14:paraId="3D06C5C3">
      <w:pPr>
        <w:spacing w:line="600" w:lineRule="exact"/>
        <w:ind w:firstLine="640"/>
        <w:rPr>
          <w:rFonts w:eastAsia="仿宋_GB2312" w:cs="仿宋_GB2312"/>
          <w:sz w:val="32"/>
          <w:szCs w:val="32"/>
        </w:rPr>
      </w:pPr>
      <w:r>
        <w:rPr>
          <w:rFonts w:eastAsia="仿宋_GB2312" w:cs="仿宋_GB2312"/>
          <w:sz w:val="32"/>
          <w:szCs w:val="32"/>
        </w:rPr>
        <w:t>1.</w:t>
      </w:r>
      <w:r>
        <w:rPr>
          <w:rFonts w:hint="eastAsia" w:eastAsia="仿宋_GB2312" w:cs="仿宋_GB2312"/>
          <w:sz w:val="32"/>
          <w:szCs w:val="32"/>
        </w:rPr>
        <w:t>财政拨款收入：指单位从同级财政部门取得的财政预算资金。</w:t>
      </w:r>
    </w:p>
    <w:p w14:paraId="38AC9F09">
      <w:pPr>
        <w:pStyle w:val="15"/>
        <w:shd w:val="clear" w:color="auto" w:fill="FFFFFF"/>
        <w:spacing w:before="0" w:beforeAutospacing="0" w:after="0" w:afterAutospacing="0" w:line="463" w:lineRule="atLeast"/>
        <w:ind w:firstLine="640" w:firstLineChars="200"/>
        <w:jc w:val="both"/>
        <w:textAlignment w:val="center"/>
        <w:rPr>
          <w:rFonts w:hint="eastAsia"/>
        </w:rPr>
      </w:pPr>
      <w:r>
        <w:rPr>
          <w:rFonts w:ascii="Times New Roman" w:hAnsi="Times New Roman" w:eastAsia="仿宋_GB2312" w:cs="仿宋_GB2312"/>
          <w:kern w:val="2"/>
          <w:sz w:val="32"/>
          <w:szCs w:val="32"/>
        </w:rPr>
        <w:t>2.</w:t>
      </w:r>
      <w:r>
        <w:rPr>
          <w:rFonts w:hint="eastAsia" w:eastAsia="仿宋_GB2312" w:cs="仿宋_GB2312"/>
          <w:sz w:val="32"/>
          <w:szCs w:val="32"/>
        </w:rPr>
        <w:t>一般公共服务（类）</w:t>
      </w:r>
      <w:r>
        <w:rPr>
          <w:rFonts w:eastAsia="仿宋_GB2312" w:cs="仿宋_GB2312"/>
          <w:sz w:val="32"/>
          <w:szCs w:val="32"/>
        </w:rPr>
        <w:t>0</w:t>
      </w:r>
      <w:r>
        <w:rPr>
          <w:rFonts w:hint="eastAsia" w:eastAsia="仿宋_GB2312" w:cs="仿宋_GB2312"/>
          <w:sz w:val="32"/>
          <w:szCs w:val="32"/>
          <w:lang w:val="en-US" w:eastAsia="zh-CN"/>
        </w:rPr>
        <w:t>1</w:t>
      </w:r>
      <w:r>
        <w:rPr>
          <w:rFonts w:hint="eastAsia" w:eastAsia="仿宋_GB2312" w:cs="仿宋_GB2312"/>
          <w:sz w:val="32"/>
          <w:szCs w:val="32"/>
        </w:rPr>
        <w:t>（款）</w:t>
      </w:r>
      <w:r>
        <w:rPr>
          <w:rFonts w:hint="eastAsia" w:eastAsia="仿宋_GB2312" w:cs="仿宋_GB2312"/>
          <w:sz w:val="32"/>
          <w:szCs w:val="32"/>
          <w:lang w:val="en-US" w:eastAsia="zh-CN"/>
        </w:rPr>
        <w:t>50</w:t>
      </w:r>
      <w:r>
        <w:rPr>
          <w:rFonts w:hint="eastAsia" w:eastAsia="仿宋_GB2312" w:cs="仿宋_GB2312"/>
          <w:sz w:val="32"/>
          <w:szCs w:val="32"/>
        </w:rPr>
        <w:t>（项）：</w:t>
      </w:r>
      <w:r>
        <w:rPr>
          <w:rFonts w:hint="eastAsia" w:eastAsia="仿宋_GB2312" w:cs="仿宋_GB2312"/>
          <w:sz w:val="32"/>
          <w:szCs w:val="32"/>
          <w:lang w:val="en-US" w:eastAsia="zh-CN"/>
        </w:rPr>
        <w:t>反映事业单位的基本支出，不包括行政单位（包括实行公务员管理的事业单位）后勤服务中心、医务室等附属事业单位</w:t>
      </w:r>
      <w:r>
        <w:rPr>
          <w:rFonts w:hint="eastAsia" w:eastAsia="仿宋_GB2312" w:cs="仿宋_GB2312"/>
          <w:sz w:val="32"/>
          <w:szCs w:val="32"/>
        </w:rPr>
        <w:t>。</w:t>
      </w:r>
    </w:p>
    <w:p w14:paraId="1826D7DD">
      <w:pPr>
        <w:spacing w:line="600" w:lineRule="exact"/>
        <w:ind w:firstLine="640"/>
        <w:rPr>
          <w:rFonts w:eastAsia="仿宋_GB2312" w:cs="仿宋_GB2312"/>
          <w:sz w:val="32"/>
          <w:szCs w:val="32"/>
        </w:rPr>
      </w:pPr>
      <w:r>
        <w:rPr>
          <w:rFonts w:hint="eastAsia" w:eastAsia="仿宋_GB2312" w:cs="仿宋_GB2312"/>
          <w:sz w:val="32"/>
          <w:szCs w:val="32"/>
          <w:lang w:val="en-US" w:eastAsia="zh-CN"/>
        </w:rPr>
        <w:t>3</w:t>
      </w:r>
      <w:r>
        <w:rPr>
          <w:rFonts w:eastAsia="仿宋_GB2312" w:cs="仿宋_GB2312"/>
          <w:sz w:val="32"/>
          <w:szCs w:val="32"/>
        </w:rPr>
        <w:t>.</w:t>
      </w:r>
      <w:r>
        <w:rPr>
          <w:rFonts w:hint="eastAsia" w:eastAsia="仿宋_GB2312" w:cs="仿宋_GB2312"/>
          <w:sz w:val="32"/>
          <w:szCs w:val="32"/>
        </w:rPr>
        <w:t>一般公共服务（类）</w:t>
      </w:r>
      <w:r>
        <w:rPr>
          <w:rFonts w:eastAsia="仿宋_GB2312" w:cs="仿宋_GB2312"/>
          <w:sz w:val="32"/>
          <w:szCs w:val="32"/>
        </w:rPr>
        <w:t>03</w:t>
      </w:r>
      <w:r>
        <w:rPr>
          <w:rFonts w:hint="eastAsia" w:eastAsia="仿宋_GB2312" w:cs="仿宋_GB2312"/>
          <w:sz w:val="32"/>
          <w:szCs w:val="32"/>
        </w:rPr>
        <w:t>（款）</w:t>
      </w:r>
      <w:r>
        <w:rPr>
          <w:rFonts w:eastAsia="仿宋_GB2312" w:cs="仿宋_GB2312"/>
          <w:sz w:val="32"/>
          <w:szCs w:val="32"/>
        </w:rPr>
        <w:t>02</w:t>
      </w:r>
      <w:r>
        <w:rPr>
          <w:rFonts w:hint="eastAsia" w:eastAsia="仿宋_GB2312" w:cs="仿宋_GB2312"/>
          <w:sz w:val="32"/>
          <w:szCs w:val="32"/>
        </w:rPr>
        <w:t>（项）：指行政单位（包括实行公务员管理的事业单位）未单独设置级科目的其他项目支出。</w:t>
      </w:r>
    </w:p>
    <w:p w14:paraId="1E4CB3C2">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4</w:t>
      </w:r>
      <w:r>
        <w:rPr>
          <w:rFonts w:eastAsia="仿宋_GB2312" w:cs="仿宋_GB2312"/>
          <w:sz w:val="32"/>
          <w:szCs w:val="32"/>
        </w:rPr>
        <w:t>.</w:t>
      </w:r>
      <w:r>
        <w:rPr>
          <w:rFonts w:hint="eastAsia" w:eastAsia="仿宋_GB2312" w:cs="仿宋_GB2312"/>
          <w:sz w:val="32"/>
          <w:szCs w:val="32"/>
        </w:rPr>
        <w:t>一般公共服务（类）</w:t>
      </w:r>
      <w:r>
        <w:rPr>
          <w:rFonts w:eastAsia="仿宋_GB2312" w:cs="仿宋_GB2312"/>
          <w:sz w:val="32"/>
          <w:szCs w:val="32"/>
        </w:rPr>
        <w:t>03</w:t>
      </w:r>
      <w:r>
        <w:rPr>
          <w:rFonts w:hint="eastAsia" w:eastAsia="仿宋_GB2312" w:cs="仿宋_GB2312"/>
          <w:sz w:val="32"/>
          <w:szCs w:val="32"/>
        </w:rPr>
        <w:t>（款）</w:t>
      </w:r>
      <w:r>
        <w:rPr>
          <w:rFonts w:eastAsia="仿宋_GB2312" w:cs="仿宋_GB2312"/>
          <w:sz w:val="32"/>
          <w:szCs w:val="32"/>
        </w:rPr>
        <w:t>50</w:t>
      </w:r>
      <w:r>
        <w:rPr>
          <w:rFonts w:hint="eastAsia" w:eastAsia="仿宋_GB2312" w:cs="仿宋_GB2312"/>
          <w:sz w:val="32"/>
          <w:szCs w:val="32"/>
        </w:rPr>
        <w:t>（项）：反映事业单位的基本支出，不包括行政单位（包括实行公务员管理</w:t>
      </w:r>
      <w:r>
        <w:rPr>
          <w:rFonts w:hint="eastAsia" w:eastAsia="仿宋_GB2312" w:cs="仿宋_GB2312"/>
          <w:sz w:val="32"/>
          <w:szCs w:val="32"/>
          <w:lang w:val="en-US" w:eastAsia="zh-CN"/>
        </w:rPr>
        <w:t>的</w:t>
      </w:r>
      <w:r>
        <w:rPr>
          <w:rFonts w:hint="eastAsia" w:eastAsia="仿宋_GB2312" w:cs="仿宋_GB2312"/>
          <w:sz w:val="32"/>
          <w:szCs w:val="32"/>
        </w:rPr>
        <w:t>事业单位）后勤服务中心、医务室等附属事业单位。</w:t>
      </w:r>
    </w:p>
    <w:p w14:paraId="488F337E">
      <w:pPr>
        <w:pStyle w:val="2"/>
        <w:rPr>
          <w:rFonts w:hint="eastAsia"/>
          <w:lang w:val="en-US" w:eastAsia="zh-CN"/>
        </w:rPr>
      </w:pPr>
    </w:p>
    <w:p w14:paraId="7AF7AE3A">
      <w:pPr>
        <w:spacing w:line="600" w:lineRule="exact"/>
        <w:ind w:firstLine="640"/>
        <w:rPr>
          <w:rFonts w:eastAsia="仿宋_GB2312" w:cs="仿宋_GB2312"/>
          <w:sz w:val="32"/>
          <w:szCs w:val="32"/>
        </w:rPr>
      </w:pPr>
      <w:r>
        <w:rPr>
          <w:rFonts w:hint="eastAsia" w:eastAsia="仿宋_GB2312" w:cs="仿宋_GB2312"/>
          <w:color w:val="auto"/>
          <w:kern w:val="2"/>
          <w:sz w:val="32"/>
          <w:szCs w:val="32"/>
          <w:highlight w:val="none"/>
          <w:lang w:val="en-US" w:eastAsia="zh-CN" w:bidi="ar-SA"/>
        </w:rPr>
        <w:t>5</w:t>
      </w:r>
      <w:r>
        <w:rPr>
          <w:rFonts w:eastAsia="仿宋_GB2312" w:cs="仿宋_GB2312"/>
          <w:sz w:val="32"/>
          <w:szCs w:val="32"/>
        </w:rPr>
        <w:t>.</w:t>
      </w:r>
      <w:r>
        <w:rPr>
          <w:rFonts w:hint="eastAsia" w:eastAsia="仿宋_GB2312" w:cs="仿宋_GB2312"/>
          <w:sz w:val="32"/>
          <w:szCs w:val="32"/>
        </w:rPr>
        <w:t>一般公共服务（类）</w:t>
      </w:r>
      <w:r>
        <w:rPr>
          <w:rFonts w:eastAsia="仿宋_GB2312" w:cs="仿宋_GB2312"/>
          <w:sz w:val="32"/>
          <w:szCs w:val="32"/>
        </w:rPr>
        <w:t>32</w:t>
      </w:r>
      <w:r>
        <w:rPr>
          <w:rFonts w:hint="eastAsia" w:eastAsia="仿宋_GB2312" w:cs="仿宋_GB2312"/>
          <w:sz w:val="32"/>
          <w:szCs w:val="32"/>
        </w:rPr>
        <w:t>（款）</w:t>
      </w:r>
      <w:r>
        <w:rPr>
          <w:rFonts w:hint="eastAsia" w:eastAsia="仿宋_GB2312" w:cs="仿宋_GB2312"/>
          <w:sz w:val="32"/>
          <w:szCs w:val="32"/>
          <w:lang w:val="en-US" w:eastAsia="zh-CN"/>
        </w:rPr>
        <w:t>50</w:t>
      </w:r>
      <w:r>
        <w:rPr>
          <w:rFonts w:hint="eastAsia" w:eastAsia="仿宋_GB2312" w:cs="仿宋_GB2312"/>
          <w:sz w:val="32"/>
          <w:szCs w:val="32"/>
        </w:rPr>
        <w:t>（项）：反映事业单位的基本支出，不包括行政单位（包括实行公务员管理</w:t>
      </w:r>
      <w:r>
        <w:rPr>
          <w:rFonts w:hint="eastAsia" w:eastAsia="仿宋_GB2312" w:cs="仿宋_GB2312"/>
          <w:sz w:val="32"/>
          <w:szCs w:val="32"/>
          <w:lang w:val="en-US" w:eastAsia="zh-CN"/>
        </w:rPr>
        <w:t>的</w:t>
      </w:r>
      <w:r>
        <w:rPr>
          <w:rFonts w:hint="eastAsia" w:eastAsia="仿宋_GB2312" w:cs="仿宋_GB2312"/>
          <w:sz w:val="32"/>
          <w:szCs w:val="32"/>
        </w:rPr>
        <w:t>事业单位）后勤服务中心、医务室等附属事业单位。</w:t>
      </w:r>
    </w:p>
    <w:p w14:paraId="6863571B">
      <w:pPr>
        <w:spacing w:line="600" w:lineRule="exact"/>
        <w:ind w:firstLine="640"/>
        <w:rPr>
          <w:rFonts w:eastAsia="仿宋_GB2312" w:cs="仿宋_GB2312"/>
          <w:sz w:val="32"/>
          <w:szCs w:val="32"/>
        </w:rPr>
      </w:pPr>
      <w:r>
        <w:rPr>
          <w:rFonts w:hint="eastAsia" w:eastAsia="仿宋_GB2312" w:cs="仿宋_GB2312"/>
          <w:sz w:val="32"/>
          <w:szCs w:val="32"/>
          <w:lang w:val="en-US" w:eastAsia="zh-CN"/>
        </w:rPr>
        <w:t>6</w:t>
      </w:r>
      <w:r>
        <w:rPr>
          <w:rFonts w:eastAsia="仿宋_GB2312" w:cs="仿宋_GB2312"/>
          <w:sz w:val="32"/>
          <w:szCs w:val="32"/>
        </w:rPr>
        <w:t>.</w:t>
      </w:r>
      <w:r>
        <w:t xml:space="preserve"> </w:t>
      </w:r>
      <w:r>
        <w:rPr>
          <w:rFonts w:hint="eastAsia" w:eastAsia="仿宋_GB2312" w:cs="仿宋_GB2312"/>
          <w:sz w:val="32"/>
          <w:szCs w:val="32"/>
        </w:rPr>
        <w:t>社会保障和就业支出（类）</w:t>
      </w:r>
      <w:r>
        <w:rPr>
          <w:rFonts w:eastAsia="仿宋_GB2312" w:cs="仿宋_GB2312"/>
          <w:sz w:val="32"/>
          <w:szCs w:val="32"/>
        </w:rPr>
        <w:t>05</w:t>
      </w:r>
      <w:r>
        <w:rPr>
          <w:rFonts w:hint="eastAsia" w:eastAsia="仿宋_GB2312" w:cs="仿宋_GB2312"/>
          <w:sz w:val="32"/>
          <w:szCs w:val="32"/>
        </w:rPr>
        <w:t>（款）</w:t>
      </w:r>
      <w:r>
        <w:rPr>
          <w:rFonts w:eastAsia="仿宋_GB2312" w:cs="仿宋_GB2312"/>
          <w:sz w:val="32"/>
          <w:szCs w:val="32"/>
        </w:rPr>
        <w:t>02</w:t>
      </w:r>
      <w:r>
        <w:rPr>
          <w:rFonts w:hint="eastAsia" w:eastAsia="仿宋_GB2312" w:cs="仿宋_GB2312"/>
          <w:sz w:val="32"/>
          <w:szCs w:val="32"/>
        </w:rPr>
        <w:t>（项）：反映事业单位开支的离退休经费。</w:t>
      </w:r>
    </w:p>
    <w:p w14:paraId="6A152F89">
      <w:pPr>
        <w:spacing w:line="600" w:lineRule="exact"/>
        <w:ind w:firstLine="640"/>
        <w:rPr>
          <w:rFonts w:eastAsia="仿宋_GB2312" w:cs="仿宋_GB2312"/>
          <w:sz w:val="32"/>
          <w:szCs w:val="32"/>
        </w:rPr>
      </w:pPr>
      <w:r>
        <w:rPr>
          <w:rFonts w:hint="eastAsia" w:eastAsia="仿宋_GB2312" w:cs="仿宋_GB2312"/>
          <w:sz w:val="32"/>
          <w:szCs w:val="32"/>
          <w:lang w:val="en-US" w:eastAsia="zh-CN"/>
        </w:rPr>
        <w:t>7</w:t>
      </w:r>
      <w:r>
        <w:rPr>
          <w:rFonts w:eastAsia="仿宋_GB2312" w:cs="仿宋_GB2312"/>
          <w:sz w:val="32"/>
          <w:szCs w:val="32"/>
        </w:rPr>
        <w:t xml:space="preserve">. </w:t>
      </w:r>
      <w:r>
        <w:rPr>
          <w:rFonts w:hint="eastAsia" w:eastAsia="仿宋_GB2312" w:cs="仿宋_GB2312"/>
          <w:sz w:val="32"/>
          <w:szCs w:val="32"/>
        </w:rPr>
        <w:t>社会保障和就业支出（类）</w:t>
      </w:r>
      <w:r>
        <w:rPr>
          <w:rFonts w:eastAsia="仿宋_GB2312" w:cs="仿宋_GB2312"/>
          <w:sz w:val="32"/>
          <w:szCs w:val="32"/>
        </w:rPr>
        <w:t>05</w:t>
      </w:r>
      <w:r>
        <w:rPr>
          <w:rFonts w:hint="eastAsia" w:eastAsia="仿宋_GB2312" w:cs="仿宋_GB2312"/>
          <w:sz w:val="32"/>
          <w:szCs w:val="32"/>
        </w:rPr>
        <w:t>（款）</w:t>
      </w:r>
      <w:r>
        <w:rPr>
          <w:rFonts w:eastAsia="仿宋_GB2312" w:cs="仿宋_GB2312"/>
          <w:sz w:val="32"/>
          <w:szCs w:val="32"/>
        </w:rPr>
        <w:t>05</w:t>
      </w:r>
      <w:r>
        <w:rPr>
          <w:rFonts w:hint="eastAsia" w:eastAsia="仿宋_GB2312" w:cs="仿宋_GB2312"/>
          <w:sz w:val="32"/>
          <w:szCs w:val="32"/>
        </w:rPr>
        <w:t>（项）：指机关事业单位实施养老保险制度由单位缴纳的基本养老保险费支出。</w:t>
      </w:r>
    </w:p>
    <w:p w14:paraId="65476F66">
      <w:pPr>
        <w:spacing w:line="600" w:lineRule="exact"/>
        <w:ind w:firstLine="640"/>
        <w:rPr>
          <w:rFonts w:eastAsia="仿宋_GB2312" w:cs="仿宋_GB2312"/>
          <w:sz w:val="32"/>
          <w:szCs w:val="32"/>
        </w:rPr>
      </w:pPr>
      <w:r>
        <w:rPr>
          <w:rFonts w:hint="eastAsia" w:eastAsia="仿宋_GB2312" w:cs="仿宋_GB2312"/>
          <w:sz w:val="32"/>
          <w:szCs w:val="32"/>
          <w:lang w:val="en-US" w:eastAsia="zh-CN"/>
        </w:rPr>
        <w:t>8</w:t>
      </w:r>
      <w:r>
        <w:rPr>
          <w:rFonts w:eastAsia="仿宋_GB2312" w:cs="仿宋_GB2312"/>
          <w:sz w:val="32"/>
          <w:szCs w:val="32"/>
        </w:rPr>
        <w:t>.</w:t>
      </w:r>
      <w:r>
        <w:t xml:space="preserve"> </w:t>
      </w:r>
      <w:r>
        <w:rPr>
          <w:rFonts w:hint="eastAsia" w:eastAsia="仿宋_GB2312" w:cs="仿宋_GB2312"/>
          <w:sz w:val="32"/>
          <w:szCs w:val="32"/>
        </w:rPr>
        <w:t>卫生健康支出（类）</w:t>
      </w:r>
      <w:r>
        <w:rPr>
          <w:rFonts w:eastAsia="仿宋_GB2312" w:cs="仿宋_GB2312"/>
          <w:sz w:val="32"/>
          <w:szCs w:val="32"/>
        </w:rPr>
        <w:t>11</w:t>
      </w:r>
      <w:r>
        <w:rPr>
          <w:rFonts w:hint="eastAsia" w:eastAsia="仿宋_GB2312" w:cs="仿宋_GB2312"/>
          <w:sz w:val="32"/>
          <w:szCs w:val="32"/>
        </w:rPr>
        <w:t>（款）</w:t>
      </w:r>
      <w:r>
        <w:rPr>
          <w:rFonts w:eastAsia="仿宋_GB2312" w:cs="仿宋_GB2312"/>
          <w:sz w:val="32"/>
          <w:szCs w:val="32"/>
        </w:rPr>
        <w:t>02</w:t>
      </w:r>
      <w:r>
        <w:rPr>
          <w:rFonts w:hint="eastAsia" w:eastAsia="仿宋_GB2312" w:cs="仿宋_GB2312"/>
          <w:sz w:val="32"/>
          <w:szCs w:val="32"/>
        </w:rPr>
        <w:t>（项）：指财政部门安排的事业单位基本医疗保险缴费经费，未参加医疗保险的事业单位的公费医疗经费，按国家规定享受离休人员待遇的医疗经费。</w:t>
      </w:r>
    </w:p>
    <w:p w14:paraId="4E4F51DA">
      <w:pPr>
        <w:spacing w:line="600" w:lineRule="exact"/>
        <w:ind w:firstLine="640"/>
        <w:rPr>
          <w:rFonts w:eastAsia="仿宋_GB2312" w:cs="仿宋_GB2312"/>
          <w:sz w:val="32"/>
          <w:szCs w:val="32"/>
        </w:rPr>
      </w:pPr>
      <w:r>
        <w:rPr>
          <w:rFonts w:hint="eastAsia" w:eastAsia="仿宋_GB2312" w:cs="仿宋_GB2312"/>
          <w:sz w:val="32"/>
          <w:szCs w:val="32"/>
          <w:lang w:val="en-US" w:eastAsia="zh-CN"/>
        </w:rPr>
        <w:t>9</w:t>
      </w:r>
      <w:r>
        <w:rPr>
          <w:rFonts w:eastAsia="仿宋_GB2312" w:cs="仿宋_GB2312"/>
          <w:sz w:val="32"/>
          <w:szCs w:val="32"/>
        </w:rPr>
        <w:t xml:space="preserve">. </w:t>
      </w:r>
      <w:r>
        <w:rPr>
          <w:rFonts w:hint="eastAsia" w:eastAsia="仿宋_GB2312" w:cs="仿宋_GB2312"/>
          <w:sz w:val="32"/>
          <w:szCs w:val="32"/>
        </w:rPr>
        <w:t>卫生健康支出（类）</w:t>
      </w:r>
      <w:r>
        <w:rPr>
          <w:rFonts w:eastAsia="仿宋_GB2312" w:cs="仿宋_GB2312"/>
          <w:sz w:val="32"/>
          <w:szCs w:val="32"/>
        </w:rPr>
        <w:t>11</w:t>
      </w:r>
      <w:r>
        <w:rPr>
          <w:rFonts w:hint="eastAsia" w:eastAsia="仿宋_GB2312" w:cs="仿宋_GB2312"/>
          <w:sz w:val="32"/>
          <w:szCs w:val="32"/>
        </w:rPr>
        <w:t>（款）</w:t>
      </w:r>
      <w:r>
        <w:rPr>
          <w:rFonts w:eastAsia="仿宋_GB2312" w:cs="仿宋_GB2312"/>
          <w:sz w:val="32"/>
          <w:szCs w:val="32"/>
        </w:rPr>
        <w:t>03</w:t>
      </w:r>
      <w:r>
        <w:rPr>
          <w:rFonts w:hint="eastAsia" w:eastAsia="仿宋_GB2312" w:cs="仿宋_GB2312"/>
          <w:sz w:val="32"/>
          <w:szCs w:val="32"/>
        </w:rPr>
        <w:t>（项）：指财政部门安排的公务员医疗补助经费。</w:t>
      </w:r>
    </w:p>
    <w:p w14:paraId="3E180349">
      <w:pPr>
        <w:spacing w:line="600" w:lineRule="exact"/>
        <w:ind w:firstLine="640"/>
        <w:rPr>
          <w:rFonts w:eastAsia="仿宋_GB2312" w:cs="仿宋_GB2312"/>
          <w:sz w:val="32"/>
          <w:szCs w:val="32"/>
        </w:rPr>
      </w:pPr>
      <w:r>
        <w:rPr>
          <w:rFonts w:hint="eastAsia" w:eastAsia="仿宋_GB2312" w:cs="仿宋_GB2312"/>
          <w:sz w:val="32"/>
          <w:szCs w:val="32"/>
          <w:lang w:val="en-US" w:eastAsia="zh-CN"/>
        </w:rPr>
        <w:t>10</w:t>
      </w:r>
      <w:r>
        <w:rPr>
          <w:rFonts w:eastAsia="仿宋_GB2312" w:cs="仿宋_GB2312"/>
          <w:sz w:val="32"/>
          <w:szCs w:val="32"/>
        </w:rPr>
        <w:t>.</w:t>
      </w:r>
      <w:r>
        <w:t xml:space="preserve"> </w:t>
      </w:r>
      <w:r>
        <w:rPr>
          <w:rFonts w:hint="eastAsia" w:eastAsia="仿宋_GB2312" w:cs="仿宋_GB2312"/>
          <w:sz w:val="32"/>
          <w:szCs w:val="32"/>
        </w:rPr>
        <w:t>住房保障支出（类）</w:t>
      </w:r>
      <w:r>
        <w:rPr>
          <w:rFonts w:eastAsia="仿宋_GB2312" w:cs="仿宋_GB2312"/>
          <w:sz w:val="32"/>
          <w:szCs w:val="32"/>
        </w:rPr>
        <w:t>02</w:t>
      </w:r>
      <w:r>
        <w:rPr>
          <w:rFonts w:hint="eastAsia" w:eastAsia="仿宋_GB2312" w:cs="仿宋_GB2312"/>
          <w:sz w:val="32"/>
          <w:szCs w:val="32"/>
        </w:rPr>
        <w:t>（款）</w:t>
      </w:r>
      <w:r>
        <w:rPr>
          <w:rFonts w:eastAsia="仿宋_GB2312" w:cs="仿宋_GB2312"/>
          <w:sz w:val="32"/>
          <w:szCs w:val="32"/>
        </w:rPr>
        <w:t>01</w:t>
      </w:r>
      <w:r>
        <w:rPr>
          <w:rFonts w:hint="eastAsia" w:eastAsia="仿宋_GB2312" w:cs="仿宋_GB2312"/>
          <w:sz w:val="32"/>
          <w:szCs w:val="32"/>
        </w:rPr>
        <w:t>（项）：指按人力资源和社会保障部、财政部规定的基本工资和津贴补贴以及规定比例为职工缴纳的住房公积金。</w:t>
      </w:r>
    </w:p>
    <w:p w14:paraId="0846E8BF">
      <w:pPr>
        <w:spacing w:line="600" w:lineRule="exact"/>
        <w:ind w:firstLine="640"/>
        <w:rPr>
          <w:rFonts w:eastAsia="仿宋_GB2312" w:cs="仿宋_GB2312"/>
          <w:sz w:val="32"/>
          <w:szCs w:val="32"/>
        </w:rPr>
      </w:pPr>
      <w:r>
        <w:rPr>
          <w:rFonts w:hint="eastAsia" w:eastAsia="仿宋_GB2312" w:cs="仿宋_GB2312"/>
          <w:sz w:val="32"/>
          <w:szCs w:val="32"/>
          <w:lang w:val="en-US" w:eastAsia="zh-CN"/>
        </w:rPr>
        <w:t>11</w:t>
      </w:r>
      <w:r>
        <w:rPr>
          <w:rFonts w:eastAsia="仿宋_GB2312" w:cs="仿宋_GB2312"/>
          <w:sz w:val="32"/>
          <w:szCs w:val="32"/>
        </w:rPr>
        <w:t>.</w:t>
      </w:r>
      <w:r>
        <w:rPr>
          <w:rFonts w:hint="eastAsia" w:eastAsia="仿宋_GB2312" w:cs="仿宋_GB2312"/>
          <w:sz w:val="32"/>
          <w:szCs w:val="32"/>
        </w:rPr>
        <w:t>基本支出：指为保障机构正常运转、完成日常工作任务而发生的人员支出和公用支出。</w:t>
      </w:r>
    </w:p>
    <w:p w14:paraId="1DF7748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eastAsia="仿宋_GB2312" w:cs="仿宋_GB2312"/>
          <w:sz w:val="32"/>
          <w:szCs w:val="32"/>
        </w:rPr>
        <w:t>1</w:t>
      </w:r>
      <w:r>
        <w:rPr>
          <w:rFonts w:hint="eastAsia" w:eastAsia="仿宋_GB2312" w:cs="仿宋_GB2312"/>
          <w:sz w:val="32"/>
          <w:szCs w:val="32"/>
          <w:lang w:val="en-US" w:eastAsia="zh-CN"/>
        </w:rPr>
        <w:t>2</w:t>
      </w:r>
      <w:r>
        <w:rPr>
          <w:rFonts w:eastAsia="仿宋_GB2312" w:cs="仿宋_GB2312"/>
          <w:sz w:val="32"/>
          <w:szCs w:val="32"/>
        </w:rPr>
        <w:t>.</w:t>
      </w:r>
      <w:r>
        <w:rPr>
          <w:rFonts w:hint="eastAsia" w:eastAsia="仿宋_GB2312" w:cs="仿宋_GB2312"/>
          <w:sz w:val="32"/>
          <w:szCs w:val="32"/>
        </w:rPr>
        <w:t>项目支出：指在基本支出之外为完成特定行政任务和事业发展目标所发生的支出。</w:t>
      </w:r>
    </w:p>
    <w:p w14:paraId="144A33FA">
      <w:pPr>
        <w:spacing w:line="600" w:lineRule="exact"/>
        <w:ind w:firstLine="640"/>
        <w:rPr>
          <w:rFonts w:eastAsia="仿宋_GB2312" w:cs="仿宋_GB2312"/>
          <w:sz w:val="32"/>
          <w:szCs w:val="32"/>
        </w:rPr>
      </w:pPr>
      <w:r>
        <w:rPr>
          <w:rFonts w:eastAsia="仿宋_GB2312" w:cs="仿宋_GB2312"/>
          <w:sz w:val="32"/>
          <w:szCs w:val="32"/>
        </w:rPr>
        <w:t>1</w:t>
      </w:r>
      <w:r>
        <w:rPr>
          <w:rFonts w:hint="eastAsia" w:eastAsia="仿宋_GB2312" w:cs="仿宋_GB2312"/>
          <w:sz w:val="32"/>
          <w:szCs w:val="32"/>
          <w:lang w:val="en-US" w:eastAsia="zh-CN"/>
        </w:rPr>
        <w:t>3</w:t>
      </w:r>
      <w:r>
        <w:rPr>
          <w:rFonts w:eastAsia="仿宋_GB2312" w:cs="仿宋_GB2312"/>
          <w:sz w:val="32"/>
          <w:szCs w:val="32"/>
        </w:rPr>
        <w:t>.</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C39F01E">
      <w:pPr>
        <w:pStyle w:val="2"/>
        <w:rPr>
          <w:rFonts w:hint="eastAsia"/>
          <w:lang w:val="en-US" w:eastAsia="zh-CN"/>
        </w:rPr>
      </w:pPr>
    </w:p>
    <w:p w14:paraId="6B18D4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3894C44">
      <w:pPr>
        <w:pStyle w:val="2"/>
        <w:rPr>
          <w:rFonts w:hint="eastAsia"/>
          <w:lang w:val="en-US" w:eastAsia="zh-CN"/>
        </w:rPr>
      </w:pPr>
    </w:p>
    <w:p w14:paraId="59EA0412">
      <w:pPr>
        <w:spacing w:line="600" w:lineRule="exact"/>
        <w:jc w:val="center"/>
        <w:rPr>
          <w:rStyle w:val="29"/>
          <w:rFonts w:hint="eastAsia" w:ascii="Times New Roman" w:hAnsi="Times New Roman" w:eastAsia="黑体"/>
          <w:b w:val="0"/>
          <w:color w:val="auto"/>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14:paraId="56D6082A">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65E2EFA3">
      <w:pPr>
        <w:spacing w:line="572" w:lineRule="exact"/>
        <w:jc w:val="center"/>
        <w:outlineLvl w:val="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黑体" w:cs="黑体"/>
          <w:sz w:val="32"/>
          <w:szCs w:val="32"/>
        </w:rPr>
        <w:t>见部门预算项目支出绩效自评表（</w:t>
      </w:r>
      <w:r>
        <w:rPr>
          <w:rFonts w:eastAsia="黑体" w:cs="黑体"/>
          <w:sz w:val="32"/>
          <w:szCs w:val="32"/>
        </w:rPr>
        <w:t>202</w:t>
      </w:r>
      <w:r>
        <w:rPr>
          <w:rFonts w:hint="eastAsia" w:eastAsia="黑体" w:cs="黑体"/>
          <w:sz w:val="32"/>
          <w:szCs w:val="32"/>
          <w:lang w:val="en-US" w:eastAsia="zh-CN"/>
        </w:rPr>
        <w:t>5</w:t>
      </w:r>
      <w:r>
        <w:rPr>
          <w:rFonts w:hint="eastAsia" w:eastAsia="黑体" w:cs="黑体"/>
          <w:sz w:val="32"/>
          <w:szCs w:val="32"/>
        </w:rPr>
        <w:t>年度）</w:t>
      </w:r>
      <w:bookmarkStart w:id="5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7237158">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1"/>
      <w:bookmarkEnd w:id="53"/>
      <w:bookmarkStart w:id="54" w:name="_Toc15396619"/>
    </w:p>
    <w:p w14:paraId="44461F7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29B80A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14:paraId="1DD3DD7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14:paraId="5EC02CE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2F78DB4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06B7708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1DC1BAA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66B9BD8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0162B2A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55D3393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209A7ED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227D88B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1044771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5022F7C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46A16BEF">
      <w:pPr>
        <w:rPr>
          <w:rFonts w:hint="eastAsia" w:ascii="Times New Roman" w:hAnsi="Times New Roman"/>
          <w:lang w:eastAsia="zh-CN"/>
        </w:rPr>
      </w:pPr>
    </w:p>
    <w:sectPr>
      <w:footerReference r:id="rId9" w:type="default"/>
      <w:type w:val="continuous"/>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0E38F">
    <w:pPr>
      <w:pStyle w:val="11"/>
      <w:jc w:val="center"/>
    </w:pPr>
  </w:p>
  <w:p w14:paraId="144D90A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EDD5B">
    <w:pPr>
      <w:pStyle w:val="11"/>
      <w:jc w:val="center"/>
    </w:pPr>
  </w:p>
  <w:p w14:paraId="02021EC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7CD64">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29906">
    <w:pPr>
      <w:pStyle w:val="11"/>
      <w:jc w:val="center"/>
    </w:pPr>
  </w:p>
  <w:p w14:paraId="22DD37C6">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33CE">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62CF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D762CF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C8354">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F3C47">
                          <w:pPr>
                            <w:pStyle w:val="11"/>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FF3C47">
                    <w:pPr>
                      <w:pStyle w:val="11"/>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p w14:paraId="6875CBE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C7E8">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30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1257"/>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48B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1A21"/>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1D91895"/>
    <w:rsid w:val="02317B1B"/>
    <w:rsid w:val="02323BAA"/>
    <w:rsid w:val="02FEBE30"/>
    <w:rsid w:val="031C341B"/>
    <w:rsid w:val="03D71CDD"/>
    <w:rsid w:val="0469124B"/>
    <w:rsid w:val="04A5362F"/>
    <w:rsid w:val="061E35DE"/>
    <w:rsid w:val="066E0107"/>
    <w:rsid w:val="06815CF5"/>
    <w:rsid w:val="06EC6D6C"/>
    <w:rsid w:val="07231444"/>
    <w:rsid w:val="07996F6E"/>
    <w:rsid w:val="07DFD8BA"/>
    <w:rsid w:val="07FB58A4"/>
    <w:rsid w:val="08246A68"/>
    <w:rsid w:val="08DB07E4"/>
    <w:rsid w:val="09867E8F"/>
    <w:rsid w:val="0A2032A3"/>
    <w:rsid w:val="0A83784C"/>
    <w:rsid w:val="0AA0137B"/>
    <w:rsid w:val="0AB86A22"/>
    <w:rsid w:val="0AED4CFD"/>
    <w:rsid w:val="0C396F1E"/>
    <w:rsid w:val="0C6C4794"/>
    <w:rsid w:val="0C803E0F"/>
    <w:rsid w:val="0C97725D"/>
    <w:rsid w:val="0CA8290A"/>
    <w:rsid w:val="0CB27AE1"/>
    <w:rsid w:val="0CCA2F89"/>
    <w:rsid w:val="0D35B1ED"/>
    <w:rsid w:val="0DE07E2B"/>
    <w:rsid w:val="0DE23A56"/>
    <w:rsid w:val="0DF66E74"/>
    <w:rsid w:val="0E085DC9"/>
    <w:rsid w:val="0E1F38BB"/>
    <w:rsid w:val="0E581497"/>
    <w:rsid w:val="0E8100DC"/>
    <w:rsid w:val="0F27086A"/>
    <w:rsid w:val="0F74096A"/>
    <w:rsid w:val="0F98263C"/>
    <w:rsid w:val="101860EC"/>
    <w:rsid w:val="101B23FC"/>
    <w:rsid w:val="107D3978"/>
    <w:rsid w:val="10856228"/>
    <w:rsid w:val="10C055FF"/>
    <w:rsid w:val="11772AA4"/>
    <w:rsid w:val="118107EC"/>
    <w:rsid w:val="11884B51"/>
    <w:rsid w:val="118B3557"/>
    <w:rsid w:val="119A0D13"/>
    <w:rsid w:val="11D64215"/>
    <w:rsid w:val="12AE23B5"/>
    <w:rsid w:val="13751BAD"/>
    <w:rsid w:val="13957196"/>
    <w:rsid w:val="13D50BC4"/>
    <w:rsid w:val="13F13CC6"/>
    <w:rsid w:val="14022904"/>
    <w:rsid w:val="144A02BE"/>
    <w:rsid w:val="145E6879"/>
    <w:rsid w:val="152F2A07"/>
    <w:rsid w:val="157902CA"/>
    <w:rsid w:val="15CB0FCE"/>
    <w:rsid w:val="16244EE0"/>
    <w:rsid w:val="165E0673"/>
    <w:rsid w:val="16BB723D"/>
    <w:rsid w:val="16F13FCB"/>
    <w:rsid w:val="17D65BAB"/>
    <w:rsid w:val="186504BB"/>
    <w:rsid w:val="18CF2D0B"/>
    <w:rsid w:val="190633D0"/>
    <w:rsid w:val="1938089F"/>
    <w:rsid w:val="19A445FC"/>
    <w:rsid w:val="19E24986"/>
    <w:rsid w:val="1A3C6319"/>
    <w:rsid w:val="1B2C0E79"/>
    <w:rsid w:val="1B7D550C"/>
    <w:rsid w:val="1B826631"/>
    <w:rsid w:val="1BBA200E"/>
    <w:rsid w:val="1BE8440E"/>
    <w:rsid w:val="1C2D3246"/>
    <w:rsid w:val="1C346454"/>
    <w:rsid w:val="1C7367D4"/>
    <w:rsid w:val="1C942FB2"/>
    <w:rsid w:val="1D155CEE"/>
    <w:rsid w:val="1D6A3806"/>
    <w:rsid w:val="1DE178F3"/>
    <w:rsid w:val="1DF01A47"/>
    <w:rsid w:val="1E1259E5"/>
    <w:rsid w:val="1E740ACF"/>
    <w:rsid w:val="1E9E304B"/>
    <w:rsid w:val="1F061775"/>
    <w:rsid w:val="1FD707C9"/>
    <w:rsid w:val="1FF35744"/>
    <w:rsid w:val="1FF6BC77"/>
    <w:rsid w:val="21186BD7"/>
    <w:rsid w:val="21962A9E"/>
    <w:rsid w:val="21AE7C77"/>
    <w:rsid w:val="229067C3"/>
    <w:rsid w:val="229A12D1"/>
    <w:rsid w:val="22BC3C41"/>
    <w:rsid w:val="22CB7E3F"/>
    <w:rsid w:val="22F42C65"/>
    <w:rsid w:val="23860B96"/>
    <w:rsid w:val="240371BF"/>
    <w:rsid w:val="245B311E"/>
    <w:rsid w:val="24870E7D"/>
    <w:rsid w:val="249158E6"/>
    <w:rsid w:val="255D4DBB"/>
    <w:rsid w:val="25DF4931"/>
    <w:rsid w:val="260F557C"/>
    <w:rsid w:val="26FF4D89"/>
    <w:rsid w:val="281408E2"/>
    <w:rsid w:val="285862BF"/>
    <w:rsid w:val="289C222B"/>
    <w:rsid w:val="28B00ECC"/>
    <w:rsid w:val="28D45C09"/>
    <w:rsid w:val="29FD04D3"/>
    <w:rsid w:val="2A2655B6"/>
    <w:rsid w:val="2A8E3CE0"/>
    <w:rsid w:val="2BFF7BC6"/>
    <w:rsid w:val="2C357514"/>
    <w:rsid w:val="2C3B721F"/>
    <w:rsid w:val="2C7A4785"/>
    <w:rsid w:val="2C8A61B5"/>
    <w:rsid w:val="2CCC458F"/>
    <w:rsid w:val="2D0E2A7A"/>
    <w:rsid w:val="2D0F04FC"/>
    <w:rsid w:val="2D1E3F90"/>
    <w:rsid w:val="2D2E01CF"/>
    <w:rsid w:val="2D670076"/>
    <w:rsid w:val="2DF04E50"/>
    <w:rsid w:val="2E1A1CB3"/>
    <w:rsid w:val="2E874865"/>
    <w:rsid w:val="2E930678"/>
    <w:rsid w:val="2E9545B0"/>
    <w:rsid w:val="2F040D46"/>
    <w:rsid w:val="2FAE5751"/>
    <w:rsid w:val="2FB1A395"/>
    <w:rsid w:val="2FD9A7D8"/>
    <w:rsid w:val="30504D11"/>
    <w:rsid w:val="30754091"/>
    <w:rsid w:val="31044BF9"/>
    <w:rsid w:val="31561180"/>
    <w:rsid w:val="319A21C2"/>
    <w:rsid w:val="319F7F4E"/>
    <w:rsid w:val="31AE0D78"/>
    <w:rsid w:val="321B2544"/>
    <w:rsid w:val="32712BD2"/>
    <w:rsid w:val="32927883"/>
    <w:rsid w:val="3304709D"/>
    <w:rsid w:val="332106FC"/>
    <w:rsid w:val="33265B78"/>
    <w:rsid w:val="33984BB2"/>
    <w:rsid w:val="34255A9B"/>
    <w:rsid w:val="34281836"/>
    <w:rsid w:val="3434409C"/>
    <w:rsid w:val="349D6851"/>
    <w:rsid w:val="34C1119D"/>
    <w:rsid w:val="34D80DC2"/>
    <w:rsid w:val="359549F8"/>
    <w:rsid w:val="35BA6CAF"/>
    <w:rsid w:val="35D37231"/>
    <w:rsid w:val="364D14C1"/>
    <w:rsid w:val="36AA5135"/>
    <w:rsid w:val="36BE0DA7"/>
    <w:rsid w:val="36D76309"/>
    <w:rsid w:val="36E5781D"/>
    <w:rsid w:val="376B6AA6"/>
    <w:rsid w:val="376D39B2"/>
    <w:rsid w:val="377F1F9A"/>
    <w:rsid w:val="37992B44"/>
    <w:rsid w:val="37AF4CE7"/>
    <w:rsid w:val="37BC000F"/>
    <w:rsid w:val="37E16F03"/>
    <w:rsid w:val="37F53A3B"/>
    <w:rsid w:val="3862000E"/>
    <w:rsid w:val="389B6C89"/>
    <w:rsid w:val="38C735B6"/>
    <w:rsid w:val="38D469F0"/>
    <w:rsid w:val="39627CCD"/>
    <w:rsid w:val="397BAF1F"/>
    <w:rsid w:val="39953143"/>
    <w:rsid w:val="39F33B1C"/>
    <w:rsid w:val="39F63CA8"/>
    <w:rsid w:val="3A227E33"/>
    <w:rsid w:val="3A864490"/>
    <w:rsid w:val="3AB79AF3"/>
    <w:rsid w:val="3B7EF35A"/>
    <w:rsid w:val="3B9FDB6C"/>
    <w:rsid w:val="3BA00460"/>
    <w:rsid w:val="3BD16A31"/>
    <w:rsid w:val="3BF5BC2F"/>
    <w:rsid w:val="3CEBA265"/>
    <w:rsid w:val="3D98207C"/>
    <w:rsid w:val="3D9B0D99"/>
    <w:rsid w:val="3DEE7CF3"/>
    <w:rsid w:val="3DF02244"/>
    <w:rsid w:val="3E78745D"/>
    <w:rsid w:val="3E833A1C"/>
    <w:rsid w:val="3F5A01FC"/>
    <w:rsid w:val="3FF4CAE0"/>
    <w:rsid w:val="3FF7B227"/>
    <w:rsid w:val="40786455"/>
    <w:rsid w:val="40790653"/>
    <w:rsid w:val="40830F63"/>
    <w:rsid w:val="40E54C45"/>
    <w:rsid w:val="41313393"/>
    <w:rsid w:val="41654DD9"/>
    <w:rsid w:val="41B71360"/>
    <w:rsid w:val="41D11F0A"/>
    <w:rsid w:val="422F0E67"/>
    <w:rsid w:val="431B7DE4"/>
    <w:rsid w:val="434652EE"/>
    <w:rsid w:val="438A6CDC"/>
    <w:rsid w:val="43A22185"/>
    <w:rsid w:val="43A407DF"/>
    <w:rsid w:val="43B009F0"/>
    <w:rsid w:val="44515BEA"/>
    <w:rsid w:val="44971580"/>
    <w:rsid w:val="44E268DA"/>
    <w:rsid w:val="453D79A8"/>
    <w:rsid w:val="453F7E5B"/>
    <w:rsid w:val="45B140E3"/>
    <w:rsid w:val="460E61DF"/>
    <w:rsid w:val="46165569"/>
    <w:rsid w:val="469D0869"/>
    <w:rsid w:val="47160D03"/>
    <w:rsid w:val="48492B7D"/>
    <w:rsid w:val="486A6C7A"/>
    <w:rsid w:val="48981FDB"/>
    <w:rsid w:val="48AB74D8"/>
    <w:rsid w:val="48B7695A"/>
    <w:rsid w:val="49176D9B"/>
    <w:rsid w:val="494006BD"/>
    <w:rsid w:val="49C74598"/>
    <w:rsid w:val="49FA026B"/>
    <w:rsid w:val="4A627F82"/>
    <w:rsid w:val="4A9579DA"/>
    <w:rsid w:val="4AB54221"/>
    <w:rsid w:val="4B0E749A"/>
    <w:rsid w:val="4B4F25DA"/>
    <w:rsid w:val="4BDA0CFB"/>
    <w:rsid w:val="4BE068DB"/>
    <w:rsid w:val="4BF91390"/>
    <w:rsid w:val="4C484637"/>
    <w:rsid w:val="4D34553A"/>
    <w:rsid w:val="4D3C0CCC"/>
    <w:rsid w:val="4D577224"/>
    <w:rsid w:val="4D5B7978"/>
    <w:rsid w:val="4D817BB7"/>
    <w:rsid w:val="4DBF1CEB"/>
    <w:rsid w:val="4E146DA6"/>
    <w:rsid w:val="4EAB630A"/>
    <w:rsid w:val="4ECE2238"/>
    <w:rsid w:val="4F833267"/>
    <w:rsid w:val="4FE9BD67"/>
    <w:rsid w:val="4FFB052F"/>
    <w:rsid w:val="513F0557"/>
    <w:rsid w:val="53083A92"/>
    <w:rsid w:val="530F4056"/>
    <w:rsid w:val="53476C7B"/>
    <w:rsid w:val="537E6D0A"/>
    <w:rsid w:val="53AF27A2"/>
    <w:rsid w:val="53F74C96"/>
    <w:rsid w:val="53FD045B"/>
    <w:rsid w:val="552A7BC8"/>
    <w:rsid w:val="553A5C5E"/>
    <w:rsid w:val="559C6C03"/>
    <w:rsid w:val="565A5D3C"/>
    <w:rsid w:val="568F2EAA"/>
    <w:rsid w:val="56E47B74"/>
    <w:rsid w:val="57BD3DD4"/>
    <w:rsid w:val="585C6786"/>
    <w:rsid w:val="586C6A21"/>
    <w:rsid w:val="586F79A5"/>
    <w:rsid w:val="59502516"/>
    <w:rsid w:val="598F2BC2"/>
    <w:rsid w:val="59AC10B0"/>
    <w:rsid w:val="59BB1BC6"/>
    <w:rsid w:val="59CB43DE"/>
    <w:rsid w:val="59D50D99"/>
    <w:rsid w:val="59D52770"/>
    <w:rsid w:val="59F359C5"/>
    <w:rsid w:val="5A2E2E0D"/>
    <w:rsid w:val="5A977B89"/>
    <w:rsid w:val="5AC82FFD"/>
    <w:rsid w:val="5AF92295"/>
    <w:rsid w:val="5B3F3F40"/>
    <w:rsid w:val="5B9E55DE"/>
    <w:rsid w:val="5BDD79E6"/>
    <w:rsid w:val="5BF561CA"/>
    <w:rsid w:val="5BFF5DFC"/>
    <w:rsid w:val="5C083F6B"/>
    <w:rsid w:val="5C836B56"/>
    <w:rsid w:val="5CD71FC4"/>
    <w:rsid w:val="5CE842FC"/>
    <w:rsid w:val="5D1F11B5"/>
    <w:rsid w:val="5D3024F2"/>
    <w:rsid w:val="5D4E7523"/>
    <w:rsid w:val="5DAE1B18"/>
    <w:rsid w:val="5DDB2B96"/>
    <w:rsid w:val="5DE7D9E5"/>
    <w:rsid w:val="5E070ED0"/>
    <w:rsid w:val="5ECEC941"/>
    <w:rsid w:val="5F493CB7"/>
    <w:rsid w:val="5FBF9FF3"/>
    <w:rsid w:val="5FCD4E2C"/>
    <w:rsid w:val="5FD15F49"/>
    <w:rsid w:val="5FD736CA"/>
    <w:rsid w:val="5FEF394A"/>
    <w:rsid w:val="5FF67715"/>
    <w:rsid w:val="60067ABA"/>
    <w:rsid w:val="602640D0"/>
    <w:rsid w:val="60320560"/>
    <w:rsid w:val="60C47ACF"/>
    <w:rsid w:val="60CA77DA"/>
    <w:rsid w:val="61FE0AD0"/>
    <w:rsid w:val="62001A55"/>
    <w:rsid w:val="62194B7D"/>
    <w:rsid w:val="62390CB6"/>
    <w:rsid w:val="62BF3928"/>
    <w:rsid w:val="638A07ED"/>
    <w:rsid w:val="638C4A5F"/>
    <w:rsid w:val="63B1399A"/>
    <w:rsid w:val="63D66158"/>
    <w:rsid w:val="647F5392"/>
    <w:rsid w:val="652470FF"/>
    <w:rsid w:val="654C55C5"/>
    <w:rsid w:val="65556C6E"/>
    <w:rsid w:val="65BA2273"/>
    <w:rsid w:val="664B1D71"/>
    <w:rsid w:val="664F00F9"/>
    <w:rsid w:val="66E06336"/>
    <w:rsid w:val="67AA3209"/>
    <w:rsid w:val="67EF07E3"/>
    <w:rsid w:val="67F30197"/>
    <w:rsid w:val="681C4F0D"/>
    <w:rsid w:val="68BD30E3"/>
    <w:rsid w:val="69046D0F"/>
    <w:rsid w:val="690D7784"/>
    <w:rsid w:val="69374FAB"/>
    <w:rsid w:val="69680FFD"/>
    <w:rsid w:val="696A2302"/>
    <w:rsid w:val="698D0931"/>
    <w:rsid w:val="69F51EE6"/>
    <w:rsid w:val="6A231730"/>
    <w:rsid w:val="6A993CED"/>
    <w:rsid w:val="6ADF6E0B"/>
    <w:rsid w:val="6AF73045"/>
    <w:rsid w:val="6B053271"/>
    <w:rsid w:val="6B570828"/>
    <w:rsid w:val="6BCE6674"/>
    <w:rsid w:val="6C4A05C8"/>
    <w:rsid w:val="6C8742B8"/>
    <w:rsid w:val="6C8955C3"/>
    <w:rsid w:val="6C8A170F"/>
    <w:rsid w:val="6CB54609"/>
    <w:rsid w:val="6CBA5EF1"/>
    <w:rsid w:val="6D1E2392"/>
    <w:rsid w:val="6D4B1F5D"/>
    <w:rsid w:val="6DBF5E93"/>
    <w:rsid w:val="6DDB4FBB"/>
    <w:rsid w:val="6DF139EF"/>
    <w:rsid w:val="6DFF077E"/>
    <w:rsid w:val="6E000787"/>
    <w:rsid w:val="6E1164A3"/>
    <w:rsid w:val="6E123F24"/>
    <w:rsid w:val="6E7E3605"/>
    <w:rsid w:val="6E7FDCC7"/>
    <w:rsid w:val="6ED6A62E"/>
    <w:rsid w:val="6EE00B15"/>
    <w:rsid w:val="6F2B6BEF"/>
    <w:rsid w:val="6F303077"/>
    <w:rsid w:val="6F544B20"/>
    <w:rsid w:val="6F6FB3EB"/>
    <w:rsid w:val="6F784160"/>
    <w:rsid w:val="6F805AE7"/>
    <w:rsid w:val="6F8731EA"/>
    <w:rsid w:val="6FA8783E"/>
    <w:rsid w:val="6FCE6052"/>
    <w:rsid w:val="6FD57C00"/>
    <w:rsid w:val="6FEFFFD8"/>
    <w:rsid w:val="6FF5CC65"/>
    <w:rsid w:val="6FFB47EC"/>
    <w:rsid w:val="6FFF034A"/>
    <w:rsid w:val="70496804"/>
    <w:rsid w:val="712325AD"/>
    <w:rsid w:val="712A28F1"/>
    <w:rsid w:val="712E50BB"/>
    <w:rsid w:val="715C0E4B"/>
    <w:rsid w:val="71A3637F"/>
    <w:rsid w:val="72233669"/>
    <w:rsid w:val="72734D90"/>
    <w:rsid w:val="727566D7"/>
    <w:rsid w:val="728162AD"/>
    <w:rsid w:val="72D0112D"/>
    <w:rsid w:val="731F586B"/>
    <w:rsid w:val="732551F6"/>
    <w:rsid w:val="7332FE48"/>
    <w:rsid w:val="7396721F"/>
    <w:rsid w:val="73AB61DA"/>
    <w:rsid w:val="73AD73D5"/>
    <w:rsid w:val="73B6EB34"/>
    <w:rsid w:val="73C94DF0"/>
    <w:rsid w:val="73FA497D"/>
    <w:rsid w:val="744731E5"/>
    <w:rsid w:val="74527205"/>
    <w:rsid w:val="746D6812"/>
    <w:rsid w:val="749C3ADE"/>
    <w:rsid w:val="74B8340E"/>
    <w:rsid w:val="74BBD01D"/>
    <w:rsid w:val="74BE5317"/>
    <w:rsid w:val="74D85EC1"/>
    <w:rsid w:val="74ED5379"/>
    <w:rsid w:val="74FC2395"/>
    <w:rsid w:val="75DEEEC2"/>
    <w:rsid w:val="761942CF"/>
    <w:rsid w:val="768113F7"/>
    <w:rsid w:val="76B56870"/>
    <w:rsid w:val="76E3355F"/>
    <w:rsid w:val="76FF5125"/>
    <w:rsid w:val="776F6FFA"/>
    <w:rsid w:val="778769C8"/>
    <w:rsid w:val="77DC22F5"/>
    <w:rsid w:val="77F32B65"/>
    <w:rsid w:val="784513E1"/>
    <w:rsid w:val="7852391B"/>
    <w:rsid w:val="786B381F"/>
    <w:rsid w:val="78B54F18"/>
    <w:rsid w:val="78BC1C67"/>
    <w:rsid w:val="78FC788A"/>
    <w:rsid w:val="79086DAD"/>
    <w:rsid w:val="79974F09"/>
    <w:rsid w:val="79D7FD79"/>
    <w:rsid w:val="79EE5BA4"/>
    <w:rsid w:val="7A0635C0"/>
    <w:rsid w:val="7A327907"/>
    <w:rsid w:val="7A894339"/>
    <w:rsid w:val="7ABB1DEA"/>
    <w:rsid w:val="7AFF7572"/>
    <w:rsid w:val="7B114D77"/>
    <w:rsid w:val="7B6C7DFB"/>
    <w:rsid w:val="7BB035FB"/>
    <w:rsid w:val="7BBFBED0"/>
    <w:rsid w:val="7BC13896"/>
    <w:rsid w:val="7BC3E394"/>
    <w:rsid w:val="7C1F3737"/>
    <w:rsid w:val="7C846E57"/>
    <w:rsid w:val="7C9603F6"/>
    <w:rsid w:val="7CBFC87B"/>
    <w:rsid w:val="7CFE0F48"/>
    <w:rsid w:val="7D204AD7"/>
    <w:rsid w:val="7D564FB1"/>
    <w:rsid w:val="7D7EC23E"/>
    <w:rsid w:val="7D817FF3"/>
    <w:rsid w:val="7D916348"/>
    <w:rsid w:val="7E1C2297"/>
    <w:rsid w:val="7E4D6442"/>
    <w:rsid w:val="7E8ADEBF"/>
    <w:rsid w:val="7ED10C1A"/>
    <w:rsid w:val="7EEB2043"/>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3224</Words>
  <Characters>4270</Characters>
  <Lines>61</Lines>
  <Paragraphs>17</Paragraphs>
  <TotalTime>4</TotalTime>
  <ScaleCrop>false</ScaleCrop>
  <LinksUpToDate>false</LinksUpToDate>
  <CharactersWithSpaces>4282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李燕君</cp:lastModifiedBy>
  <cp:lastPrinted>2026-08-03T09:27:00Z</cp:lastPrinted>
  <dcterms:modified xsi:type="dcterms:W3CDTF">2026-09-09T06:29:40Z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31DA18C84D324EC9894270249E37D165_13</vt:lpwstr>
  </property>
  <property fmtid="{D5CDD505-2E9C-101B-9397-08002B2CF9AE}" pid="4" name="KSOTemplateDocerSaveRecord">
    <vt:lpwstr>eyJoZGlkIjoiNTk4MzZmNjQzYWI2NzdmODU4MmE3ZDE1NDkxOTY5MjAiLCJ1c2VySWQiOiIzMjE5ODY5MzcifQ==</vt:lpwstr>
  </property>
</Properties>
</file>