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EFE35">
      <w:pPr>
        <w:pStyle w:val="2"/>
        <w:pageBreakBefore w:val="0"/>
        <w:kinsoku/>
        <w:wordWrap/>
        <w:overflowPunct/>
        <w:topLinePunct w:val="0"/>
        <w:bidi w:val="0"/>
        <w:spacing w:beforeLines="0"/>
        <w:ind w:left="0" w:leftChars="0"/>
        <w:textAlignment w:val="auto"/>
        <w:rPr>
          <w:rFonts w:hint="eastAsia" w:ascii="Times New Roman" w:eastAsia="方正小标宋简体"/>
          <w:kern w:val="2"/>
          <w:sz w:val="72"/>
          <w:szCs w:val="72"/>
        </w:rPr>
      </w:pPr>
      <w:bookmarkStart w:id="0" w:name="_Toc15396475"/>
      <w:bookmarkStart w:id="1" w:name="_Toc15377425"/>
      <w:bookmarkStart w:id="2" w:name="_Toc15396597"/>
      <w:bookmarkStart w:id="3" w:name="_Toc15378441"/>
      <w:bookmarkStart w:id="4" w:name="_Toc15377193"/>
      <w:bookmarkStart w:id="5" w:name="_Toc15306267"/>
    </w:p>
    <w:p w14:paraId="1ADE2CCC">
      <w:pPr>
        <w:pStyle w:val="2"/>
        <w:pageBreakBefore w:val="0"/>
        <w:kinsoku/>
        <w:wordWrap/>
        <w:overflowPunct/>
        <w:topLinePunct w:val="0"/>
        <w:bidi w:val="0"/>
        <w:spacing w:beforeLines="0"/>
        <w:ind w:left="0" w:leftChars="0"/>
        <w:textAlignment w:val="auto"/>
        <w:rPr>
          <w:rFonts w:hint="eastAsia" w:ascii="Times New Roman" w:eastAsia="方正小标宋简体"/>
          <w:kern w:val="2"/>
          <w:sz w:val="72"/>
          <w:szCs w:val="72"/>
          <w:lang w:eastAsia="zh-CN"/>
        </w:rPr>
      </w:pPr>
      <w:r>
        <w:rPr>
          <w:rFonts w:hint="eastAsia" w:ascii="黑体" w:hAnsi="黑体" w:eastAsia="黑体" w:cs="黑体"/>
          <w:snapToGrid w:val="0"/>
          <w:kern w:val="0"/>
          <w:sz w:val="32"/>
          <w:szCs w:val="32"/>
          <w:lang w:val="en-US" w:eastAsia="zh-CN"/>
        </w:rPr>
        <w:t xml:space="preserve"> </w:t>
      </w:r>
    </w:p>
    <w:p w14:paraId="41FCC2AA">
      <w:pPr>
        <w:pStyle w:val="2"/>
        <w:pageBreakBefore w:val="0"/>
        <w:kinsoku/>
        <w:wordWrap/>
        <w:overflowPunct/>
        <w:topLinePunct w:val="0"/>
        <w:bidi w:val="0"/>
        <w:spacing w:beforeLines="0"/>
        <w:ind w:left="0" w:leftChars="0"/>
        <w:textAlignment w:val="auto"/>
        <w:rPr>
          <w:rFonts w:hint="eastAsia" w:ascii="Times New Roman" w:eastAsia="方正小标宋简体"/>
          <w:kern w:val="2"/>
          <w:sz w:val="72"/>
          <w:szCs w:val="72"/>
        </w:rPr>
      </w:pPr>
    </w:p>
    <w:p w14:paraId="08B4951D">
      <w:pPr>
        <w:pStyle w:val="2"/>
        <w:pageBreakBefore w:val="0"/>
        <w:kinsoku/>
        <w:wordWrap/>
        <w:overflowPunct/>
        <w:topLinePunct w:val="0"/>
        <w:bidi w:val="0"/>
        <w:spacing w:beforeLines="0"/>
        <w:ind w:left="0" w:leftChars="0"/>
        <w:jc w:val="center"/>
        <w:textAlignment w:val="auto"/>
        <w:rPr>
          <w:rFonts w:hint="eastAsia" w:ascii="Times New Roman" w:eastAsia="方正小标宋简体"/>
          <w:kern w:val="2"/>
          <w:sz w:val="44"/>
          <w:szCs w:val="44"/>
        </w:rPr>
      </w:pPr>
      <w:r>
        <w:rPr>
          <w:rFonts w:hint="eastAsia" w:ascii="Times New Roman" w:eastAsia="方正小标宋简体"/>
          <w:kern w:val="2"/>
          <w:sz w:val="44"/>
          <w:szCs w:val="44"/>
        </w:rPr>
        <w:t>2025年度攀枝花市政务服务管理局</w:t>
      </w:r>
    </w:p>
    <w:p w14:paraId="0F4FD741">
      <w:pPr>
        <w:pStyle w:val="2"/>
        <w:pageBreakBefore w:val="0"/>
        <w:kinsoku/>
        <w:wordWrap/>
        <w:overflowPunct/>
        <w:topLinePunct w:val="0"/>
        <w:bidi w:val="0"/>
        <w:spacing w:beforeLines="0"/>
        <w:ind w:left="0" w:leftChars="0"/>
        <w:jc w:val="center"/>
        <w:textAlignment w:val="auto"/>
        <w:rPr>
          <w:rFonts w:ascii="Times New Roman" w:eastAsia="方正小标宋简体"/>
          <w:kern w:val="2"/>
          <w:sz w:val="44"/>
          <w:szCs w:val="44"/>
        </w:rPr>
      </w:pPr>
      <w:r>
        <w:rPr>
          <w:rFonts w:hint="eastAsia" w:ascii="Times New Roman" w:eastAsia="方正小标宋简体"/>
          <w:kern w:val="2"/>
          <w:sz w:val="44"/>
          <w:szCs w:val="44"/>
        </w:rPr>
        <w:t>部门决算公开编制说明</w:t>
      </w:r>
    </w:p>
    <w:p w14:paraId="5DC1DEB6">
      <w:pPr>
        <w:pageBreakBefore w:val="0"/>
        <w:kinsoku/>
        <w:wordWrap/>
        <w:overflowPunct/>
        <w:topLinePunct w:val="0"/>
        <w:bidi w:val="0"/>
        <w:spacing w:line="600" w:lineRule="exact"/>
        <w:ind w:left="0" w:leftChars="0"/>
        <w:jc w:val="center"/>
        <w:textAlignment w:val="auto"/>
        <w:outlineLvl w:val="0"/>
        <w:rPr>
          <w:rFonts w:eastAsia="方正小标宋简体"/>
          <w:sz w:val="72"/>
          <w:szCs w:val="72"/>
        </w:rPr>
      </w:pPr>
    </w:p>
    <w:p w14:paraId="5FC85B8E">
      <w:pPr>
        <w:pStyle w:val="21"/>
        <w:pageBreakBefore w:val="0"/>
        <w:kinsoku/>
        <w:wordWrap/>
        <w:overflowPunct/>
        <w:topLinePunct w:val="0"/>
        <w:bidi w:val="0"/>
        <w:spacing w:before="0" w:after="0"/>
        <w:ind w:left="0" w:leftChars="0"/>
        <w:textAlignment w:val="auto"/>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1FD3F4AD">
      <w:pPr>
        <w:pageBreakBefore w:val="0"/>
        <w:kinsoku/>
        <w:wordWrap/>
        <w:overflowPunct/>
        <w:topLinePunct w:val="0"/>
        <w:bidi w:val="0"/>
        <w:ind w:left="0" w:leftChars="0"/>
        <w:textAlignment w:val="auto"/>
      </w:pPr>
    </w:p>
    <w:p w14:paraId="2A0442DC">
      <w:pPr>
        <w:pStyle w:val="2"/>
        <w:pageBreakBefore w:val="0"/>
        <w:kinsoku/>
        <w:wordWrap/>
        <w:overflowPunct/>
        <w:topLinePunct w:val="0"/>
        <w:bidi w:val="0"/>
        <w:spacing w:beforeLines="0"/>
        <w:ind w:left="0" w:leftChars="0"/>
        <w:jc w:val="center"/>
        <w:textAlignment w:val="auto"/>
        <w:rPr>
          <w:rFonts w:ascii="Times New Roman" w:eastAsia="方正小标宋简体"/>
          <w:kern w:val="2"/>
          <w:sz w:val="44"/>
          <w:szCs w:val="44"/>
        </w:rPr>
      </w:pPr>
    </w:p>
    <w:p w14:paraId="4FB1993D">
      <w:pPr>
        <w:pStyle w:val="2"/>
        <w:pageBreakBefore w:val="0"/>
        <w:kinsoku/>
        <w:wordWrap/>
        <w:overflowPunct/>
        <w:topLinePunct w:val="0"/>
        <w:bidi w:val="0"/>
        <w:spacing w:beforeLines="0"/>
        <w:ind w:left="0" w:leftChars="0"/>
        <w:jc w:val="center"/>
        <w:textAlignment w:val="auto"/>
        <w:rPr>
          <w:rFonts w:ascii="Times New Roman" w:eastAsia="方正小标宋简体"/>
          <w:kern w:val="2"/>
          <w:sz w:val="44"/>
          <w:szCs w:val="44"/>
        </w:rPr>
      </w:pPr>
    </w:p>
    <w:p w14:paraId="67137FEB">
      <w:pPr>
        <w:pStyle w:val="2"/>
        <w:pageBreakBefore w:val="0"/>
        <w:kinsoku/>
        <w:wordWrap/>
        <w:overflowPunct/>
        <w:topLinePunct w:val="0"/>
        <w:bidi w:val="0"/>
        <w:spacing w:beforeLines="0"/>
        <w:ind w:left="0" w:leftChars="0"/>
        <w:jc w:val="center"/>
        <w:textAlignment w:val="auto"/>
        <w:rPr>
          <w:rFonts w:ascii="Times New Roman" w:eastAsia="方正小标宋简体"/>
          <w:kern w:val="2"/>
          <w:sz w:val="44"/>
          <w:szCs w:val="44"/>
        </w:rPr>
      </w:pPr>
    </w:p>
    <w:p w14:paraId="29510609">
      <w:pPr>
        <w:pStyle w:val="2"/>
        <w:pageBreakBefore w:val="0"/>
        <w:kinsoku/>
        <w:wordWrap/>
        <w:overflowPunct/>
        <w:topLinePunct w:val="0"/>
        <w:bidi w:val="0"/>
        <w:spacing w:beforeLines="0"/>
        <w:ind w:left="0" w:leftChars="0"/>
        <w:jc w:val="center"/>
        <w:textAlignment w:val="auto"/>
        <w:rPr>
          <w:rFonts w:ascii="Times New Roman" w:eastAsia="方正小标宋简体"/>
          <w:kern w:val="2"/>
          <w:sz w:val="44"/>
          <w:szCs w:val="44"/>
        </w:rPr>
      </w:pPr>
    </w:p>
    <w:bookmarkEnd w:id="0"/>
    <w:bookmarkEnd w:id="1"/>
    <w:bookmarkEnd w:id="2"/>
    <w:bookmarkEnd w:id="3"/>
    <w:bookmarkEnd w:id="4"/>
    <w:p w14:paraId="4D302CA2">
      <w:pPr>
        <w:pStyle w:val="2"/>
        <w:pageBreakBefore w:val="0"/>
        <w:kinsoku/>
        <w:wordWrap/>
        <w:overflowPunct/>
        <w:topLinePunct w:val="0"/>
        <w:bidi w:val="0"/>
        <w:spacing w:beforeLines="0"/>
        <w:ind w:left="0" w:leftChars="0"/>
        <w:jc w:val="center"/>
        <w:textAlignment w:val="auto"/>
        <w:rPr>
          <w:rFonts w:hint="eastAsia" w:ascii="Times New Roman" w:eastAsia="方正小标宋简体"/>
          <w:kern w:val="2"/>
          <w:sz w:val="44"/>
          <w:szCs w:val="44"/>
        </w:rPr>
      </w:pPr>
      <w:bookmarkStart w:id="6" w:name="_Toc15377194"/>
      <w:bookmarkStart w:id="7" w:name="_Toc15378442"/>
      <w:bookmarkStart w:id="8" w:name="_Toc15396476"/>
      <w:bookmarkStart w:id="9" w:name="_Toc15377426"/>
      <w:bookmarkStart w:id="10" w:name="_Toc15396598"/>
      <w:r>
        <w:rPr>
          <w:rFonts w:hint="eastAsia" w:ascii="Times New Roman" w:eastAsia="方正小标宋简体"/>
          <w:kern w:val="2"/>
          <w:sz w:val="44"/>
          <w:szCs w:val="44"/>
        </w:rPr>
        <w:t>2025年度攀枝花市</w:t>
      </w:r>
      <w:bookmarkEnd w:id="5"/>
      <w:bookmarkStart w:id="11" w:name="_Toc15306268"/>
    </w:p>
    <w:p w14:paraId="376F6354">
      <w:pPr>
        <w:pStyle w:val="2"/>
        <w:pageBreakBefore w:val="0"/>
        <w:kinsoku/>
        <w:wordWrap/>
        <w:overflowPunct/>
        <w:topLinePunct w:val="0"/>
        <w:bidi w:val="0"/>
        <w:spacing w:beforeLines="0"/>
        <w:ind w:left="0" w:leftChars="0"/>
        <w:jc w:val="center"/>
        <w:textAlignment w:val="auto"/>
        <w:rPr>
          <w:rFonts w:ascii="Times New Roman" w:eastAsia="方正小标宋简体"/>
          <w:kern w:val="2"/>
          <w:sz w:val="44"/>
          <w:szCs w:val="44"/>
        </w:rPr>
      </w:pPr>
      <w:r>
        <w:rPr>
          <w:rFonts w:hint="eastAsia" w:ascii="Times New Roman" w:eastAsia="方正小标宋简体"/>
          <w:kern w:val="2"/>
          <w:sz w:val="44"/>
          <w:szCs w:val="44"/>
          <w:lang w:val="en-US" w:eastAsia="zh-CN"/>
        </w:rPr>
        <w:t>政务服务管理局</w:t>
      </w:r>
      <w:r>
        <w:rPr>
          <w:rFonts w:hint="eastAsia" w:ascii="Times New Roman" w:eastAsia="方正小标宋简体"/>
          <w:kern w:val="2"/>
          <w:sz w:val="44"/>
          <w:szCs w:val="44"/>
        </w:rPr>
        <w:t>部门决算</w:t>
      </w:r>
      <w:bookmarkEnd w:id="6"/>
      <w:bookmarkEnd w:id="7"/>
      <w:bookmarkEnd w:id="8"/>
      <w:bookmarkEnd w:id="9"/>
      <w:bookmarkEnd w:id="10"/>
      <w:bookmarkEnd w:id="11"/>
    </w:p>
    <w:p w14:paraId="3FD58A9E">
      <w:pPr>
        <w:pageBreakBefore w:val="0"/>
        <w:widowControl/>
        <w:kinsoku/>
        <w:wordWrap/>
        <w:overflowPunct/>
        <w:topLinePunct w:val="0"/>
        <w:bidi w:val="0"/>
        <w:ind w:left="0" w:leftChars="0"/>
        <w:jc w:val="center"/>
        <w:textAlignment w:val="auto"/>
        <w:rPr>
          <w:rFonts w:hint="eastAsia" w:eastAsia="黑体"/>
          <w:sz w:val="48"/>
          <w:szCs w:val="48"/>
        </w:rPr>
      </w:pPr>
    </w:p>
    <w:p w14:paraId="218A7931">
      <w:pPr>
        <w:pageBreakBefore w:val="0"/>
        <w:widowControl/>
        <w:kinsoku/>
        <w:wordWrap/>
        <w:overflowPunct/>
        <w:topLinePunct w:val="0"/>
        <w:bidi w:val="0"/>
        <w:ind w:left="0" w:leftChars="0"/>
        <w:jc w:val="center"/>
        <w:textAlignment w:val="auto"/>
        <w:rPr>
          <w:rFonts w:hint="eastAsia" w:eastAsia="黑体"/>
          <w:sz w:val="48"/>
          <w:szCs w:val="48"/>
        </w:rPr>
      </w:pPr>
    </w:p>
    <w:p w14:paraId="246572A6">
      <w:pPr>
        <w:pageBreakBefore w:val="0"/>
        <w:widowControl/>
        <w:kinsoku/>
        <w:wordWrap/>
        <w:overflowPunct/>
        <w:topLinePunct w:val="0"/>
        <w:bidi w:val="0"/>
        <w:ind w:left="0" w:leftChars="0"/>
        <w:jc w:val="center"/>
        <w:textAlignment w:val="auto"/>
        <w:rPr>
          <w:rFonts w:hint="eastAsia" w:eastAsia="黑体"/>
          <w:sz w:val="48"/>
          <w:szCs w:val="48"/>
        </w:rPr>
      </w:pPr>
    </w:p>
    <w:p w14:paraId="7DE0252F">
      <w:pPr>
        <w:pageBreakBefore w:val="0"/>
        <w:widowControl/>
        <w:kinsoku/>
        <w:wordWrap/>
        <w:overflowPunct/>
        <w:topLinePunct w:val="0"/>
        <w:bidi w:val="0"/>
        <w:ind w:left="0" w:leftChars="0"/>
        <w:jc w:val="center"/>
        <w:textAlignment w:val="auto"/>
        <w:rPr>
          <w:rFonts w:hint="eastAsia" w:eastAsia="黑体"/>
          <w:sz w:val="48"/>
          <w:szCs w:val="48"/>
        </w:rPr>
      </w:pPr>
    </w:p>
    <w:p w14:paraId="46BE3FCF">
      <w:pPr>
        <w:pageBreakBefore w:val="0"/>
        <w:widowControl/>
        <w:kinsoku/>
        <w:wordWrap/>
        <w:overflowPunct/>
        <w:topLinePunct w:val="0"/>
        <w:bidi w:val="0"/>
        <w:ind w:left="0" w:leftChars="0"/>
        <w:jc w:val="center"/>
        <w:textAlignment w:val="auto"/>
        <w:rPr>
          <w:rFonts w:hint="eastAsia" w:eastAsia="黑体"/>
          <w:sz w:val="48"/>
          <w:szCs w:val="48"/>
        </w:rPr>
      </w:pPr>
    </w:p>
    <w:p w14:paraId="78D87A45">
      <w:pPr>
        <w:pageBreakBefore w:val="0"/>
        <w:widowControl/>
        <w:kinsoku/>
        <w:wordWrap/>
        <w:overflowPunct/>
        <w:topLinePunct w:val="0"/>
        <w:bidi w:val="0"/>
        <w:ind w:left="0" w:leftChars="0"/>
        <w:jc w:val="center"/>
        <w:textAlignment w:val="auto"/>
        <w:rPr>
          <w:rFonts w:hint="eastAsia" w:eastAsia="黑体"/>
          <w:sz w:val="48"/>
          <w:szCs w:val="48"/>
        </w:rPr>
      </w:pPr>
    </w:p>
    <w:p w14:paraId="0052D632">
      <w:pPr>
        <w:pageBreakBefore w:val="0"/>
        <w:widowControl/>
        <w:kinsoku/>
        <w:wordWrap/>
        <w:overflowPunct/>
        <w:topLinePunct w:val="0"/>
        <w:bidi w:val="0"/>
        <w:ind w:left="0" w:leftChars="0"/>
        <w:jc w:val="center"/>
        <w:textAlignment w:val="auto"/>
        <w:rPr>
          <w:rFonts w:hint="eastAsia" w:eastAsia="黑体"/>
          <w:sz w:val="48"/>
          <w:szCs w:val="48"/>
        </w:rPr>
      </w:pPr>
    </w:p>
    <w:p w14:paraId="6E8643BB">
      <w:pPr>
        <w:pageBreakBefore w:val="0"/>
        <w:widowControl/>
        <w:kinsoku/>
        <w:wordWrap/>
        <w:overflowPunct/>
        <w:topLinePunct w:val="0"/>
        <w:bidi w:val="0"/>
        <w:ind w:left="0" w:leftChars="0"/>
        <w:jc w:val="center"/>
        <w:textAlignment w:val="auto"/>
        <w:rPr>
          <w:rFonts w:hint="eastAsia" w:eastAsia="黑体"/>
          <w:sz w:val="48"/>
          <w:szCs w:val="48"/>
        </w:rPr>
      </w:pPr>
    </w:p>
    <w:p w14:paraId="2ECE4FA1">
      <w:pPr>
        <w:pageBreakBefore w:val="0"/>
        <w:widowControl/>
        <w:kinsoku/>
        <w:wordWrap/>
        <w:overflowPunct/>
        <w:topLinePunct w:val="0"/>
        <w:bidi w:val="0"/>
        <w:ind w:left="0" w:leftChars="0"/>
        <w:jc w:val="center"/>
        <w:textAlignment w:val="auto"/>
        <w:rPr>
          <w:rFonts w:hint="eastAsia" w:eastAsia="黑体"/>
          <w:sz w:val="48"/>
          <w:szCs w:val="48"/>
        </w:rPr>
      </w:pPr>
    </w:p>
    <w:p w14:paraId="34CA4E47">
      <w:pPr>
        <w:pageBreakBefore w:val="0"/>
        <w:widowControl/>
        <w:kinsoku/>
        <w:wordWrap/>
        <w:overflowPunct/>
        <w:topLinePunct w:val="0"/>
        <w:bidi w:val="0"/>
        <w:ind w:left="0" w:leftChars="0"/>
        <w:jc w:val="center"/>
        <w:textAlignment w:val="auto"/>
        <w:rPr>
          <w:rFonts w:hint="eastAsia" w:eastAsia="黑体"/>
          <w:sz w:val="48"/>
          <w:szCs w:val="48"/>
        </w:rPr>
      </w:pPr>
    </w:p>
    <w:p w14:paraId="757C0B5A">
      <w:pPr>
        <w:pageBreakBefore w:val="0"/>
        <w:widowControl/>
        <w:kinsoku/>
        <w:wordWrap/>
        <w:overflowPunct/>
        <w:topLinePunct w:val="0"/>
        <w:bidi w:val="0"/>
        <w:ind w:left="0" w:leftChars="0"/>
        <w:jc w:val="center"/>
        <w:textAlignment w:val="auto"/>
        <w:rPr>
          <w:rFonts w:hint="eastAsia" w:eastAsia="黑体"/>
          <w:sz w:val="48"/>
          <w:szCs w:val="48"/>
        </w:rPr>
      </w:pPr>
    </w:p>
    <w:p w14:paraId="0C19001E">
      <w:pPr>
        <w:pageBreakBefore w:val="0"/>
        <w:widowControl/>
        <w:kinsoku/>
        <w:wordWrap/>
        <w:overflowPunct/>
        <w:topLinePunct w:val="0"/>
        <w:bidi w:val="0"/>
        <w:ind w:left="0" w:leftChars="0"/>
        <w:jc w:val="center"/>
        <w:textAlignment w:val="auto"/>
        <w:rPr>
          <w:rFonts w:hint="eastAsia" w:eastAsia="黑体"/>
          <w:sz w:val="48"/>
          <w:szCs w:val="48"/>
        </w:rPr>
      </w:pPr>
    </w:p>
    <w:p w14:paraId="7BC7DEB5">
      <w:pPr>
        <w:pageBreakBefore w:val="0"/>
        <w:widowControl/>
        <w:kinsoku/>
        <w:wordWrap/>
        <w:overflowPunct/>
        <w:topLinePunct w:val="0"/>
        <w:bidi w:val="0"/>
        <w:ind w:left="0" w:leftChars="0"/>
        <w:jc w:val="center"/>
        <w:textAlignment w:val="auto"/>
        <w:rPr>
          <w:rFonts w:hint="eastAsia" w:eastAsia="黑体"/>
          <w:sz w:val="48"/>
          <w:szCs w:val="48"/>
        </w:rPr>
      </w:pPr>
    </w:p>
    <w:p w14:paraId="4F145A95">
      <w:pPr>
        <w:pageBreakBefore w:val="0"/>
        <w:widowControl/>
        <w:kinsoku/>
        <w:wordWrap/>
        <w:overflowPunct/>
        <w:topLinePunct w:val="0"/>
        <w:bidi w:val="0"/>
        <w:ind w:left="0" w:leftChars="0"/>
        <w:jc w:val="center"/>
        <w:textAlignment w:val="auto"/>
        <w:rPr>
          <w:rFonts w:hint="eastAsia" w:eastAsia="黑体"/>
          <w:sz w:val="48"/>
          <w:szCs w:val="48"/>
        </w:rPr>
        <w:sectPr>
          <w:footerReference r:id="rId6" w:type="first"/>
          <w:footerReference r:id="rId5" w:type="default"/>
          <w:pgSz w:w="11906" w:h="16838"/>
          <w:pgMar w:top="1440" w:right="1800" w:bottom="1440" w:left="1800" w:header="851" w:footer="992" w:gutter="0"/>
          <w:pgNumType w:start="1"/>
          <w:cols w:space="425" w:num="1"/>
          <w:docGrid w:type="lines" w:linePitch="312" w:charSpace="0"/>
        </w:sectPr>
      </w:pPr>
    </w:p>
    <w:p w14:paraId="4653DF1E">
      <w:pPr>
        <w:pageBreakBefore w:val="0"/>
        <w:widowControl/>
        <w:kinsoku/>
        <w:wordWrap/>
        <w:overflowPunct/>
        <w:topLinePunct w:val="0"/>
        <w:bidi w:val="0"/>
        <w:ind w:left="0" w:leftChars="0"/>
        <w:jc w:val="center"/>
        <w:textAlignment w:val="auto"/>
        <w:rPr>
          <w:rFonts w:eastAsia="黑体"/>
          <w:sz w:val="48"/>
          <w:szCs w:val="48"/>
        </w:rPr>
      </w:pPr>
      <w:r>
        <w:rPr>
          <w:rFonts w:hint="eastAsia" w:eastAsia="黑体"/>
          <w:sz w:val="48"/>
          <w:szCs w:val="48"/>
        </w:rPr>
        <w:t>目录</w:t>
      </w:r>
    </w:p>
    <w:p w14:paraId="43539656">
      <w:pPr>
        <w:pageBreakBefore w:val="0"/>
        <w:widowControl/>
        <w:kinsoku/>
        <w:wordWrap/>
        <w:overflowPunct/>
        <w:topLinePunct w:val="0"/>
        <w:bidi w:val="0"/>
        <w:ind w:left="0" w:leftChars="0"/>
        <w:jc w:val="center"/>
        <w:textAlignment w:val="auto"/>
        <w:rPr>
          <w:rFonts w:eastAsia="黑体" w:cstheme="minorBidi"/>
          <w:sz w:val="28"/>
          <w:szCs w:val="28"/>
        </w:rPr>
      </w:pPr>
    </w:p>
    <w:p w14:paraId="2656E3E6">
      <w:pPr>
        <w:pStyle w:val="13"/>
        <w:pageBreakBefore w:val="0"/>
        <w:kinsoku/>
        <w:wordWrap/>
        <w:overflowPunct/>
        <w:topLinePunct w:val="0"/>
        <w:bidi w:val="0"/>
        <w:spacing w:before="0"/>
        <w:ind w:left="0" w:leftChars="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日</w:t>
      </w:r>
    </w:p>
    <w:p w14:paraId="4BC15739">
      <w:pPr>
        <w:pageBreakBefore w:val="0"/>
        <w:kinsoku/>
        <w:wordWrap/>
        <w:overflowPunct/>
        <w:topLinePunct w:val="0"/>
        <w:bidi w:val="0"/>
        <w:ind w:left="0" w:leftChars="0"/>
        <w:textAlignment w:val="auto"/>
      </w:pPr>
    </w:p>
    <w:p w14:paraId="7A42AEB0">
      <w:pPr>
        <w:pStyle w:val="13"/>
        <w:pageBreakBefore w:val="0"/>
        <w:kinsoku/>
        <w:wordWrap/>
        <w:overflowPunct/>
        <w:topLinePunct w:val="0"/>
        <w:bidi w:val="0"/>
        <w:adjustRightInd w:val="0"/>
        <w:snapToGrid w:val="0"/>
        <w:spacing w:before="0" w:line="440" w:lineRule="exact"/>
        <w:ind w:left="0" w:leftChars="0"/>
        <w:jc w:val="left"/>
        <w:textAlignment w:val="auto"/>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r>
        <w:rPr>
          <w:rFonts w:cs="Times New Roman"/>
          <w:sz w:val="24"/>
          <w:szCs w:val="24"/>
        </w:rPr>
        <w:tab/>
      </w:r>
      <w:r>
        <w:rPr>
          <w:rFonts w:hint="eastAsia" w:cs="Times New Roman"/>
          <w:sz w:val="24"/>
          <w:szCs w:val="24"/>
          <w:lang w:val="en-US" w:eastAsia="zh-CN"/>
        </w:rPr>
        <w:t>3</w:t>
      </w:r>
    </w:p>
    <w:p w14:paraId="349042C3">
      <w:pPr>
        <w:pStyle w:val="13"/>
        <w:pageBreakBefore w:val="0"/>
        <w:kinsoku/>
        <w:wordWrap/>
        <w:overflowPunct/>
        <w:topLinePunct w:val="0"/>
        <w:bidi w:val="0"/>
        <w:adjustRightInd w:val="0"/>
        <w:snapToGrid w:val="0"/>
        <w:spacing w:before="0" w:line="44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一、部门职责</w:t>
      </w:r>
      <w:r>
        <w:rPr>
          <w:rFonts w:cs="Times New Roman"/>
          <w:sz w:val="24"/>
          <w:szCs w:val="24"/>
        </w:rPr>
        <w:tab/>
      </w:r>
      <w:r>
        <w:rPr>
          <w:rFonts w:hint="eastAsia" w:cs="Times New Roman"/>
          <w:sz w:val="24"/>
          <w:szCs w:val="24"/>
          <w:lang w:val="en-US" w:eastAsia="zh-CN"/>
        </w:rPr>
        <w:t>3</w:t>
      </w:r>
    </w:p>
    <w:p w14:paraId="483AF384">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二、机构设置</w:t>
      </w:r>
      <w:r>
        <w:rPr>
          <w:rFonts w:cs="Times New Roman"/>
          <w:sz w:val="24"/>
          <w:szCs w:val="24"/>
        </w:rPr>
        <w:tab/>
      </w:r>
      <w:r>
        <w:rPr>
          <w:rFonts w:hint="eastAsia" w:ascii="仿宋" w:hAnsi="仿宋" w:eastAsia="仿宋" w:cs="Times New Roman"/>
          <w:kern w:val="2"/>
          <w:sz w:val="24"/>
          <w:szCs w:val="24"/>
          <w:lang w:val="en-US" w:eastAsia="zh-CN" w:bidi="ar-SA"/>
        </w:rPr>
        <w:t>4</w:t>
      </w:r>
    </w:p>
    <w:p w14:paraId="5F590BBF">
      <w:pPr>
        <w:pStyle w:val="13"/>
        <w:pageBreakBefore w:val="0"/>
        <w:kinsoku/>
        <w:wordWrap/>
        <w:overflowPunct/>
        <w:topLinePunct w:val="0"/>
        <w:bidi w:val="0"/>
        <w:adjustRightInd w:val="0"/>
        <w:snapToGrid w:val="0"/>
        <w:spacing w:before="0" w:line="560" w:lineRule="exact"/>
        <w:ind w:left="0" w:leftChars="0"/>
        <w:jc w:val="left"/>
        <w:textAlignment w:val="auto"/>
        <w:rPr>
          <w:rFonts w:ascii="Times New Roman" w:hAnsi="Times New Roman" w:eastAsia="黑体" w:cs="黑体"/>
          <w:sz w:val="32"/>
          <w:szCs w:val="32"/>
        </w:rPr>
      </w:pPr>
      <w:r>
        <w:rPr>
          <w:rFonts w:hint="eastAsia" w:ascii="Times New Roman" w:hAnsi="Times New Roman" w:eastAsia="黑体" w:cs="黑体"/>
          <w:sz w:val="32"/>
          <w:szCs w:val="32"/>
        </w:rPr>
        <w:t>第二部分 2025年度部门决算情况说明</w:t>
      </w:r>
      <w:r>
        <w:rPr>
          <w:rFonts w:cs="Times New Roman"/>
          <w:sz w:val="24"/>
          <w:szCs w:val="24"/>
        </w:rPr>
        <w:tab/>
      </w:r>
      <w:r>
        <w:rPr>
          <w:rFonts w:hint="eastAsia" w:cs="Times New Roman"/>
          <w:sz w:val="24"/>
          <w:szCs w:val="24"/>
          <w:lang w:val="en-US" w:eastAsia="zh-CN"/>
        </w:rPr>
        <w:t>5</w:t>
      </w:r>
    </w:p>
    <w:p w14:paraId="1AF2DF03">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一、收入支出决算总体情况说明</w:t>
      </w:r>
      <w:r>
        <w:rPr>
          <w:rFonts w:cs="Times New Roman"/>
          <w:sz w:val="24"/>
          <w:szCs w:val="24"/>
        </w:rPr>
        <w:tab/>
      </w:r>
      <w:r>
        <w:rPr>
          <w:rFonts w:hint="eastAsia" w:cs="Times New Roman"/>
          <w:sz w:val="24"/>
          <w:szCs w:val="24"/>
          <w:lang w:val="en-US" w:eastAsia="zh-CN"/>
        </w:rPr>
        <w:t>5</w:t>
      </w:r>
    </w:p>
    <w:p w14:paraId="5F9DDE94">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二、收入决算情况说明</w:t>
      </w:r>
      <w:r>
        <w:rPr>
          <w:rFonts w:cs="Times New Roman"/>
          <w:sz w:val="24"/>
          <w:szCs w:val="24"/>
        </w:rPr>
        <w:tab/>
      </w:r>
      <w:r>
        <w:rPr>
          <w:rFonts w:hint="eastAsia" w:cs="Times New Roman"/>
          <w:sz w:val="24"/>
          <w:szCs w:val="24"/>
          <w:lang w:val="en-US" w:eastAsia="zh-CN"/>
        </w:rPr>
        <w:t>5</w:t>
      </w:r>
    </w:p>
    <w:p w14:paraId="54AD2D75">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三、支出决算情况说明</w:t>
      </w:r>
      <w:r>
        <w:rPr>
          <w:rFonts w:cs="Times New Roman"/>
          <w:sz w:val="24"/>
          <w:szCs w:val="24"/>
        </w:rPr>
        <w:tab/>
      </w:r>
      <w:r>
        <w:rPr>
          <w:rFonts w:hint="eastAsia" w:cs="Times New Roman"/>
          <w:sz w:val="24"/>
          <w:szCs w:val="24"/>
          <w:lang w:val="en-US" w:eastAsia="zh-CN"/>
        </w:rPr>
        <w:t>6</w:t>
      </w:r>
    </w:p>
    <w:p w14:paraId="6FBDB2DD">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四、财政拨款收入支出决算总体情况说明</w:t>
      </w:r>
      <w:r>
        <w:rPr>
          <w:rFonts w:cs="Times New Roman"/>
          <w:sz w:val="24"/>
          <w:szCs w:val="24"/>
        </w:rPr>
        <w:tab/>
      </w:r>
      <w:r>
        <w:rPr>
          <w:rFonts w:hint="eastAsia" w:cs="Times New Roman"/>
          <w:sz w:val="24"/>
          <w:szCs w:val="24"/>
          <w:lang w:val="en-US" w:eastAsia="zh-CN"/>
        </w:rPr>
        <w:t>6</w:t>
      </w:r>
    </w:p>
    <w:p w14:paraId="22920B0A">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五、一般公共预算财政拨款支出决算情况说明</w:t>
      </w:r>
      <w:r>
        <w:rPr>
          <w:rFonts w:cs="Times New Roman"/>
          <w:sz w:val="24"/>
          <w:szCs w:val="24"/>
        </w:rPr>
        <w:tab/>
      </w:r>
      <w:r>
        <w:rPr>
          <w:rFonts w:hint="eastAsia" w:cs="Times New Roman"/>
          <w:sz w:val="24"/>
          <w:szCs w:val="24"/>
          <w:lang w:val="en-US" w:eastAsia="zh-CN"/>
        </w:rPr>
        <w:t>7</w:t>
      </w:r>
    </w:p>
    <w:p w14:paraId="2AD233BB">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hint="default" w:eastAsia="宋体" w:cs="仿宋_GB2312"/>
          <w:sz w:val="32"/>
          <w:szCs w:val="32"/>
          <w:lang w:val="en-US" w:eastAsia="zh-CN"/>
        </w:rPr>
      </w:pPr>
      <w:r>
        <w:rPr>
          <w:rFonts w:hint="eastAsia" w:eastAsia="仿宋_GB2312" w:cs="仿宋_GB2312"/>
          <w:sz w:val="32"/>
          <w:szCs w:val="32"/>
        </w:rPr>
        <w:t>六、一般公共预算财政拨款基本支出决算情况说明</w:t>
      </w:r>
      <w:r>
        <w:rPr>
          <w:rFonts w:cs="Times New Roman"/>
          <w:sz w:val="24"/>
          <w:szCs w:val="24"/>
        </w:rPr>
        <w:tab/>
      </w:r>
      <w:r>
        <w:rPr>
          <w:rFonts w:hint="eastAsia" w:cs="Times New Roman"/>
          <w:sz w:val="24"/>
          <w:szCs w:val="24"/>
          <w:lang w:val="en-US" w:eastAsia="zh-CN"/>
        </w:rPr>
        <w:t>10</w:t>
      </w:r>
    </w:p>
    <w:p w14:paraId="4AB7680C">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hint="default" w:eastAsia="仿宋_GB2312" w:cs="仿宋_GB2312"/>
          <w:sz w:val="32"/>
          <w:szCs w:val="32"/>
          <w:lang w:val="en-US"/>
        </w:rPr>
      </w:pPr>
      <w:r>
        <w:rPr>
          <w:rFonts w:hint="eastAsia" w:eastAsia="仿宋_GB2312" w:cs="仿宋_GB2312"/>
          <w:sz w:val="32"/>
          <w:szCs w:val="32"/>
        </w:rPr>
        <w:t>七、财政拨款“三公”经费支出决算情况说明</w:t>
      </w:r>
      <w:r>
        <w:rPr>
          <w:rFonts w:cs="Times New Roman"/>
          <w:sz w:val="24"/>
          <w:szCs w:val="24"/>
        </w:rPr>
        <w:tab/>
      </w:r>
      <w:r>
        <w:rPr>
          <w:rFonts w:hint="eastAsia" w:cs="Times New Roman"/>
          <w:sz w:val="24"/>
          <w:szCs w:val="24"/>
          <w:lang w:val="en-US" w:eastAsia="zh-CN"/>
        </w:rPr>
        <w:t>10</w:t>
      </w:r>
    </w:p>
    <w:p w14:paraId="24901240">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hint="default" w:eastAsia="仿宋_GB2312" w:cs="仿宋_GB2312"/>
          <w:sz w:val="32"/>
          <w:szCs w:val="32"/>
          <w:lang w:val="en-US"/>
        </w:rPr>
      </w:pPr>
      <w:r>
        <w:rPr>
          <w:rFonts w:hint="eastAsia" w:eastAsia="仿宋_GB2312" w:cs="仿宋_GB2312"/>
          <w:sz w:val="32"/>
          <w:szCs w:val="32"/>
        </w:rPr>
        <w:t>八、政府性基金预算支出决算情况说明</w:t>
      </w:r>
      <w:r>
        <w:rPr>
          <w:rFonts w:cs="Times New Roman"/>
          <w:sz w:val="24"/>
          <w:szCs w:val="24"/>
        </w:rPr>
        <w:tab/>
      </w:r>
      <w:r>
        <w:rPr>
          <w:rFonts w:hint="eastAsia" w:cs="Times New Roman"/>
          <w:sz w:val="24"/>
          <w:szCs w:val="24"/>
          <w:lang w:val="en-US" w:eastAsia="zh-CN"/>
        </w:rPr>
        <w:t>12</w:t>
      </w:r>
    </w:p>
    <w:p w14:paraId="45D7F482">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hint="default" w:eastAsia="宋体" w:cs="仿宋_GB2312"/>
          <w:sz w:val="32"/>
          <w:szCs w:val="32"/>
          <w:lang w:val="en-US" w:eastAsia="zh-CN"/>
        </w:rPr>
      </w:pPr>
      <w:r>
        <w:rPr>
          <w:rFonts w:hint="eastAsia" w:eastAsia="仿宋_GB2312" w:cs="仿宋_GB2312"/>
          <w:sz w:val="32"/>
          <w:szCs w:val="32"/>
        </w:rPr>
        <w:t>九、国有资本经营预算支出决算情况说明</w:t>
      </w:r>
      <w:r>
        <w:rPr>
          <w:rFonts w:cs="Times New Roman"/>
          <w:sz w:val="24"/>
          <w:szCs w:val="24"/>
        </w:rPr>
        <w:tab/>
      </w:r>
      <w:r>
        <w:rPr>
          <w:rFonts w:hint="eastAsia" w:cs="Times New Roman"/>
          <w:sz w:val="24"/>
          <w:szCs w:val="24"/>
          <w:lang w:val="en-US" w:eastAsia="zh-CN"/>
        </w:rPr>
        <w:t>12</w:t>
      </w:r>
    </w:p>
    <w:p w14:paraId="12034848">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hint="default" w:eastAsia="宋体" w:cs="仿宋_GB2312"/>
          <w:sz w:val="32"/>
          <w:szCs w:val="32"/>
          <w:lang w:val="en-US" w:eastAsia="zh-CN"/>
        </w:rPr>
      </w:pPr>
      <w:r>
        <w:rPr>
          <w:rFonts w:hint="eastAsia" w:eastAsia="仿宋_GB2312" w:cs="仿宋_GB2312"/>
          <w:sz w:val="32"/>
          <w:szCs w:val="32"/>
        </w:rPr>
        <w:t>十、其他重要事项的情况说明</w:t>
      </w:r>
      <w:r>
        <w:rPr>
          <w:rFonts w:cs="Times New Roman"/>
          <w:sz w:val="24"/>
          <w:szCs w:val="24"/>
        </w:rPr>
        <w:tab/>
      </w:r>
      <w:r>
        <w:rPr>
          <w:rFonts w:hint="eastAsia" w:cs="Times New Roman"/>
          <w:sz w:val="24"/>
          <w:szCs w:val="24"/>
          <w:lang w:val="en-US" w:eastAsia="zh-CN"/>
        </w:rPr>
        <w:t>12</w:t>
      </w:r>
    </w:p>
    <w:p w14:paraId="350B3774">
      <w:pPr>
        <w:pStyle w:val="13"/>
        <w:pageBreakBefore w:val="0"/>
        <w:kinsoku/>
        <w:wordWrap/>
        <w:overflowPunct/>
        <w:topLinePunct w:val="0"/>
        <w:bidi w:val="0"/>
        <w:adjustRightInd w:val="0"/>
        <w:snapToGrid w:val="0"/>
        <w:spacing w:before="0" w:line="560" w:lineRule="exact"/>
        <w:ind w:left="0" w:leftChars="0"/>
        <w:jc w:val="left"/>
        <w:textAlignment w:val="auto"/>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第三部分 名词解释</w:t>
      </w:r>
      <w:r>
        <w:rPr>
          <w:rFonts w:cs="Times New Roman"/>
          <w:sz w:val="24"/>
          <w:szCs w:val="24"/>
        </w:rPr>
        <w:tab/>
      </w:r>
      <w:r>
        <w:rPr>
          <w:rFonts w:hint="eastAsia" w:cs="Times New Roman"/>
          <w:sz w:val="24"/>
          <w:szCs w:val="24"/>
          <w:lang w:val="en-US" w:eastAsia="zh-CN"/>
        </w:rPr>
        <w:t>14</w:t>
      </w:r>
    </w:p>
    <w:p w14:paraId="6E2FCB95">
      <w:pPr>
        <w:pStyle w:val="13"/>
        <w:pageBreakBefore w:val="0"/>
        <w:kinsoku/>
        <w:wordWrap/>
        <w:overflowPunct/>
        <w:topLinePunct w:val="0"/>
        <w:bidi w:val="0"/>
        <w:adjustRightInd w:val="0"/>
        <w:snapToGrid w:val="0"/>
        <w:spacing w:before="0" w:line="560" w:lineRule="exact"/>
        <w:ind w:left="0" w:leftChars="0"/>
        <w:jc w:val="left"/>
        <w:textAlignment w:val="auto"/>
        <w:rPr>
          <w:rFonts w:hint="default" w:ascii="Times New Roman" w:hAnsi="Times New Roman" w:eastAsia="仿宋" w:cs="黑体"/>
          <w:sz w:val="32"/>
          <w:szCs w:val="32"/>
          <w:lang w:val="en-US" w:eastAsia="zh-CN"/>
        </w:rPr>
      </w:pPr>
      <w:r>
        <w:rPr>
          <w:rFonts w:hint="eastAsia" w:ascii="Times New Roman" w:hAnsi="Times New Roman" w:eastAsia="黑体" w:cs="黑体"/>
          <w:sz w:val="32"/>
          <w:szCs w:val="32"/>
        </w:rPr>
        <w:t>第四部分 附件</w:t>
      </w:r>
      <w:r>
        <w:rPr>
          <w:rFonts w:cs="Times New Roman"/>
          <w:sz w:val="24"/>
          <w:szCs w:val="24"/>
        </w:rPr>
        <w:tab/>
      </w:r>
      <w:r>
        <w:rPr>
          <w:rFonts w:hint="eastAsia" w:cs="Times New Roman"/>
          <w:sz w:val="24"/>
          <w:szCs w:val="24"/>
          <w:lang w:val="en-US" w:eastAsia="zh-CN"/>
        </w:rPr>
        <w:t>17</w:t>
      </w:r>
    </w:p>
    <w:p w14:paraId="77D2439B">
      <w:pPr>
        <w:pStyle w:val="13"/>
        <w:pageBreakBefore w:val="0"/>
        <w:kinsoku/>
        <w:wordWrap/>
        <w:overflowPunct/>
        <w:topLinePunct w:val="0"/>
        <w:bidi w:val="0"/>
        <w:adjustRightInd w:val="0"/>
        <w:snapToGrid w:val="0"/>
        <w:spacing w:before="0" w:line="560" w:lineRule="exact"/>
        <w:ind w:left="0" w:leftChars="0"/>
        <w:jc w:val="left"/>
        <w:textAlignment w:val="auto"/>
        <w:rPr>
          <w:rFonts w:hint="default" w:ascii="Times New Roman" w:hAnsi="Times New Roman" w:eastAsia="仿宋" w:cs="黑体"/>
          <w:sz w:val="32"/>
          <w:szCs w:val="32"/>
          <w:lang w:val="en-US" w:eastAsia="zh-CN"/>
        </w:rPr>
      </w:pPr>
      <w:r>
        <w:rPr>
          <w:rFonts w:hint="eastAsia" w:ascii="Times New Roman" w:hAnsi="Times New Roman" w:eastAsia="黑体" w:cs="黑体"/>
          <w:sz w:val="32"/>
          <w:szCs w:val="32"/>
        </w:rPr>
        <w:t>第五部分 附表</w:t>
      </w:r>
      <w:r>
        <w:rPr>
          <w:rFonts w:cs="Times New Roman"/>
          <w:sz w:val="24"/>
          <w:szCs w:val="24"/>
        </w:rPr>
        <w:tab/>
      </w:r>
      <w:r>
        <w:rPr>
          <w:rFonts w:hint="eastAsia" w:cs="Times New Roman"/>
          <w:sz w:val="24"/>
          <w:szCs w:val="24"/>
          <w:lang w:val="en-US" w:eastAsia="zh-CN"/>
        </w:rPr>
        <w:t>22</w:t>
      </w:r>
    </w:p>
    <w:p w14:paraId="6AE057FD">
      <w:pPr>
        <w:pStyle w:val="13"/>
        <w:pageBreakBefore w:val="0"/>
        <w:kinsoku/>
        <w:wordWrap/>
        <w:overflowPunct/>
        <w:topLinePunct w:val="0"/>
        <w:bidi w:val="0"/>
        <w:adjustRightInd w:val="0"/>
        <w:snapToGrid w:val="0"/>
        <w:spacing w:before="0"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一、收入支出决算总表</w:t>
      </w:r>
      <w:r>
        <w:rPr>
          <w:rFonts w:cs="Times New Roman"/>
          <w:sz w:val="24"/>
          <w:szCs w:val="24"/>
        </w:rPr>
        <w:tab/>
      </w:r>
      <w:r>
        <w:rPr>
          <w:rFonts w:hint="eastAsia" w:cs="Times New Roman"/>
          <w:sz w:val="24"/>
          <w:szCs w:val="24"/>
          <w:lang w:val="en-US" w:eastAsia="zh-CN"/>
        </w:rPr>
        <w:t>22</w:t>
      </w:r>
    </w:p>
    <w:p w14:paraId="3D21BBAC">
      <w:pPr>
        <w:pStyle w:val="13"/>
        <w:pageBreakBefore w:val="0"/>
        <w:kinsoku/>
        <w:wordWrap/>
        <w:overflowPunct/>
        <w:topLinePunct w:val="0"/>
        <w:bidi w:val="0"/>
        <w:adjustRightInd w:val="0"/>
        <w:snapToGrid w:val="0"/>
        <w:spacing w:before="0"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二、收入决算表</w:t>
      </w:r>
      <w:r>
        <w:rPr>
          <w:rFonts w:cs="Times New Roman"/>
          <w:sz w:val="24"/>
          <w:szCs w:val="24"/>
        </w:rPr>
        <w:tab/>
      </w:r>
      <w:r>
        <w:rPr>
          <w:rFonts w:hint="eastAsia" w:cs="Times New Roman"/>
          <w:sz w:val="24"/>
          <w:szCs w:val="24"/>
          <w:lang w:val="en-US" w:eastAsia="zh-CN"/>
        </w:rPr>
        <w:t>22</w:t>
      </w:r>
    </w:p>
    <w:p w14:paraId="56C93DF5">
      <w:pPr>
        <w:pStyle w:val="13"/>
        <w:pageBreakBefore w:val="0"/>
        <w:kinsoku/>
        <w:wordWrap/>
        <w:overflowPunct/>
        <w:topLinePunct w:val="0"/>
        <w:bidi w:val="0"/>
        <w:adjustRightInd w:val="0"/>
        <w:snapToGrid w:val="0"/>
        <w:spacing w:before="0"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三、支出决算表</w:t>
      </w:r>
      <w:r>
        <w:rPr>
          <w:rFonts w:cs="Times New Roman"/>
          <w:sz w:val="24"/>
          <w:szCs w:val="24"/>
        </w:rPr>
        <w:tab/>
      </w:r>
      <w:r>
        <w:rPr>
          <w:rFonts w:hint="eastAsia" w:cs="Times New Roman"/>
          <w:sz w:val="24"/>
          <w:szCs w:val="24"/>
          <w:lang w:val="en-US" w:eastAsia="zh-CN"/>
        </w:rPr>
        <w:t>22</w:t>
      </w:r>
    </w:p>
    <w:p w14:paraId="4D73DCBA">
      <w:pPr>
        <w:pStyle w:val="13"/>
        <w:pageBreakBefore w:val="0"/>
        <w:kinsoku/>
        <w:wordWrap/>
        <w:overflowPunct/>
        <w:topLinePunct w:val="0"/>
        <w:bidi w:val="0"/>
        <w:adjustRightInd w:val="0"/>
        <w:snapToGrid w:val="0"/>
        <w:spacing w:before="0"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四、财政拨款收入支出决算总表</w:t>
      </w:r>
      <w:r>
        <w:rPr>
          <w:rFonts w:cs="Times New Roman"/>
          <w:sz w:val="24"/>
          <w:szCs w:val="24"/>
        </w:rPr>
        <w:tab/>
      </w:r>
      <w:r>
        <w:rPr>
          <w:rFonts w:hint="eastAsia" w:cs="Times New Roman"/>
          <w:sz w:val="24"/>
          <w:szCs w:val="24"/>
          <w:lang w:val="en-US" w:eastAsia="zh-CN"/>
        </w:rPr>
        <w:t>22</w:t>
      </w:r>
    </w:p>
    <w:p w14:paraId="327BF0C4">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五、财政拨款支出决算明细表</w:t>
      </w:r>
      <w:r>
        <w:rPr>
          <w:rFonts w:cs="Times New Roman"/>
          <w:sz w:val="24"/>
          <w:szCs w:val="24"/>
        </w:rPr>
        <w:tab/>
      </w:r>
      <w:r>
        <w:rPr>
          <w:rFonts w:hint="eastAsia" w:cs="Times New Roman"/>
          <w:sz w:val="24"/>
          <w:szCs w:val="24"/>
          <w:lang w:val="en-US" w:eastAsia="zh-CN"/>
        </w:rPr>
        <w:t>22</w:t>
      </w:r>
    </w:p>
    <w:p w14:paraId="6FA2B592">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六、一般公共预算财政拨款支出决算表</w:t>
      </w:r>
      <w:r>
        <w:rPr>
          <w:rFonts w:cs="Times New Roman"/>
          <w:sz w:val="24"/>
          <w:szCs w:val="24"/>
        </w:rPr>
        <w:tab/>
      </w:r>
      <w:r>
        <w:rPr>
          <w:rFonts w:hint="eastAsia" w:cs="Times New Roman"/>
          <w:sz w:val="24"/>
          <w:szCs w:val="24"/>
          <w:lang w:val="en-US" w:eastAsia="zh-CN"/>
        </w:rPr>
        <w:t>22</w:t>
      </w:r>
    </w:p>
    <w:p w14:paraId="6A615A00">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七、一般公共预算财政拨款支出决算明细表</w:t>
      </w:r>
      <w:r>
        <w:rPr>
          <w:rFonts w:cs="Times New Roman"/>
          <w:sz w:val="24"/>
          <w:szCs w:val="24"/>
        </w:rPr>
        <w:tab/>
      </w:r>
      <w:r>
        <w:rPr>
          <w:rFonts w:hint="eastAsia" w:cs="Times New Roman"/>
          <w:sz w:val="24"/>
          <w:szCs w:val="24"/>
          <w:lang w:val="en-US" w:eastAsia="zh-CN"/>
        </w:rPr>
        <w:t>22</w:t>
      </w:r>
    </w:p>
    <w:p w14:paraId="3C19E70C">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八、一般公共预算财政拨款基本支出决算明细表</w:t>
      </w:r>
      <w:r>
        <w:rPr>
          <w:rFonts w:cs="Times New Roman"/>
          <w:sz w:val="24"/>
          <w:szCs w:val="24"/>
        </w:rPr>
        <w:tab/>
      </w:r>
      <w:r>
        <w:rPr>
          <w:rFonts w:hint="eastAsia" w:cs="Times New Roman"/>
          <w:sz w:val="24"/>
          <w:szCs w:val="24"/>
          <w:lang w:val="en-US" w:eastAsia="zh-CN"/>
        </w:rPr>
        <w:t>22</w:t>
      </w:r>
    </w:p>
    <w:p w14:paraId="4D0C01D4">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九、一般公共预算财政拨款项目支出决算表</w:t>
      </w:r>
      <w:r>
        <w:rPr>
          <w:rFonts w:cs="Times New Roman"/>
          <w:sz w:val="24"/>
          <w:szCs w:val="24"/>
        </w:rPr>
        <w:tab/>
      </w:r>
      <w:r>
        <w:rPr>
          <w:rFonts w:hint="eastAsia" w:cs="Times New Roman"/>
          <w:sz w:val="24"/>
          <w:szCs w:val="24"/>
          <w:lang w:val="en-US" w:eastAsia="zh-CN"/>
        </w:rPr>
        <w:t>22</w:t>
      </w:r>
    </w:p>
    <w:p w14:paraId="4EF29047">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十、政府性基金预算财政拨款收入支出决算表</w:t>
      </w:r>
      <w:r>
        <w:rPr>
          <w:rFonts w:cs="Times New Roman"/>
          <w:sz w:val="24"/>
          <w:szCs w:val="24"/>
        </w:rPr>
        <w:tab/>
      </w:r>
      <w:r>
        <w:rPr>
          <w:rFonts w:hint="eastAsia" w:cs="Times New Roman"/>
          <w:sz w:val="24"/>
          <w:szCs w:val="24"/>
          <w:lang w:val="en-US" w:eastAsia="zh-CN"/>
        </w:rPr>
        <w:t>22</w:t>
      </w:r>
    </w:p>
    <w:p w14:paraId="2541189B">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十一、国有资本经营预算财政拨款收入支出决算表</w:t>
      </w:r>
      <w:r>
        <w:rPr>
          <w:rFonts w:cs="Times New Roman"/>
          <w:sz w:val="24"/>
          <w:szCs w:val="24"/>
        </w:rPr>
        <w:tab/>
      </w:r>
      <w:r>
        <w:rPr>
          <w:rFonts w:hint="eastAsia" w:cs="Times New Roman"/>
          <w:sz w:val="24"/>
          <w:szCs w:val="24"/>
          <w:lang w:val="en-US" w:eastAsia="zh-CN"/>
        </w:rPr>
        <w:t>22</w:t>
      </w:r>
    </w:p>
    <w:p w14:paraId="0D814F21">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十二、国有资本经营预算财政拨款支出决算表</w:t>
      </w:r>
      <w:r>
        <w:rPr>
          <w:rFonts w:cs="Times New Roman"/>
          <w:sz w:val="24"/>
          <w:szCs w:val="24"/>
        </w:rPr>
        <w:tab/>
      </w:r>
      <w:r>
        <w:rPr>
          <w:rFonts w:hint="eastAsia" w:cs="Times New Roman"/>
          <w:sz w:val="24"/>
          <w:szCs w:val="24"/>
          <w:lang w:val="en-US" w:eastAsia="zh-CN"/>
        </w:rPr>
        <w:t>22</w:t>
      </w:r>
    </w:p>
    <w:p w14:paraId="739BB75C">
      <w:pPr>
        <w:pStyle w:val="15"/>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十三、财政拨款“三公”经费支出决算表</w:t>
      </w:r>
      <w:r>
        <w:rPr>
          <w:rFonts w:cs="Times New Roman"/>
          <w:sz w:val="24"/>
          <w:szCs w:val="24"/>
        </w:rPr>
        <w:tab/>
      </w:r>
      <w:r>
        <w:rPr>
          <w:rFonts w:hint="eastAsia" w:cs="Times New Roman"/>
          <w:sz w:val="24"/>
          <w:szCs w:val="24"/>
          <w:lang w:val="en-US" w:eastAsia="zh-CN"/>
        </w:rPr>
        <w:t>22</w:t>
      </w:r>
    </w:p>
    <w:p w14:paraId="27DC4231">
      <w:pPr>
        <w:pageBreakBefore w:val="0"/>
        <w:widowControl/>
        <w:kinsoku/>
        <w:wordWrap/>
        <w:overflowPunct/>
        <w:topLinePunct w:val="0"/>
        <w:bidi w:val="0"/>
        <w:spacing w:line="560" w:lineRule="exact"/>
        <w:ind w:left="0" w:leftChars="0"/>
        <w:jc w:val="left"/>
        <w:textAlignment w:val="auto"/>
        <w:rPr>
          <w:rFonts w:eastAsia="仿宋_GB2312" w:cs="仿宋_GB2312"/>
          <w:bCs/>
          <w:kern w:val="44"/>
          <w:sz w:val="32"/>
          <w:szCs w:val="32"/>
        </w:rPr>
      </w:pPr>
      <w:bookmarkStart w:id="12" w:name="_Toc15396599"/>
      <w:bookmarkStart w:id="13" w:name="_Toc15377196"/>
      <w:r>
        <w:rPr>
          <w:rFonts w:hint="eastAsia" w:eastAsia="仿宋_GB2312" w:cs="仿宋_GB2312"/>
          <w:b/>
          <w:sz w:val="32"/>
          <w:szCs w:val="32"/>
        </w:rPr>
        <w:br w:type="page"/>
      </w:r>
    </w:p>
    <w:p w14:paraId="36D37B1D">
      <w:pPr>
        <w:pStyle w:val="3"/>
        <w:pageBreakBefore w:val="0"/>
        <w:kinsoku/>
        <w:wordWrap/>
        <w:overflowPunct/>
        <w:topLinePunct w:val="0"/>
        <w:bidi w:val="0"/>
        <w:spacing w:before="0" w:after="0"/>
        <w:ind w:left="0" w:leftChars="0"/>
        <w:jc w:val="center"/>
        <w:textAlignment w:val="auto"/>
        <w:rPr>
          <w:rStyle w:val="30"/>
          <w:rFonts w:hint="eastAsia" w:eastAsia="方正小标宋简体" w:cs="方正小标宋简体"/>
          <w:b w:val="0"/>
          <w:bCs w:val="0"/>
        </w:rPr>
      </w:pPr>
      <w:r>
        <w:rPr>
          <w:rFonts w:hint="eastAsia" w:eastAsia="方正小标宋简体" w:cs="方正小标宋简体"/>
          <w:b w:val="0"/>
        </w:rPr>
        <w:t xml:space="preserve">第一部分  </w:t>
      </w:r>
      <w:r>
        <w:rPr>
          <w:rStyle w:val="30"/>
          <w:rFonts w:hint="eastAsia" w:eastAsia="方正小标宋简体" w:cs="方正小标宋简体"/>
          <w:b w:val="0"/>
          <w:bCs w:val="0"/>
        </w:rPr>
        <w:t>部门概况</w:t>
      </w:r>
      <w:bookmarkEnd w:id="12"/>
      <w:bookmarkEnd w:id="13"/>
    </w:p>
    <w:p w14:paraId="5A94F6A8"/>
    <w:p w14:paraId="7DA5B6DE">
      <w:pPr>
        <w:pStyle w:val="4"/>
        <w:pageBreakBefore w:val="0"/>
        <w:numPr>
          <w:ilvl w:val="0"/>
          <w:numId w:val="0"/>
        </w:numPr>
        <w:kinsoku/>
        <w:wordWrap/>
        <w:overflowPunct/>
        <w:topLinePunct w:val="0"/>
        <w:bidi w:val="0"/>
        <w:spacing w:before="0" w:after="0"/>
        <w:ind w:left="0" w:leftChars="0" w:firstLine="640" w:firstLineChars="200"/>
        <w:textAlignment w:val="auto"/>
        <w:rPr>
          <w:rFonts w:hint="default" w:eastAsia="宋体"/>
          <w:lang w:val="en-US" w:eastAsia="zh-CN"/>
        </w:rPr>
      </w:pPr>
      <w:r>
        <w:rPr>
          <w:rFonts w:hint="eastAsia" w:ascii="Times New Roman" w:hAnsi="Times New Roman" w:eastAsia="黑体"/>
          <w:b w:val="0"/>
          <w:lang w:val="en-US" w:eastAsia="zh-CN"/>
        </w:rPr>
        <w:t>一、</w:t>
      </w:r>
      <w:r>
        <w:rPr>
          <w:rFonts w:hint="eastAsia" w:ascii="Times New Roman" w:hAnsi="Times New Roman" w:eastAsia="黑体"/>
          <w:b w:val="0"/>
        </w:rPr>
        <w:t>部门职责</w:t>
      </w:r>
      <w:r>
        <w:rPr>
          <w:rFonts w:hint="eastAsia" w:ascii="Times New Roman" w:hAnsi="Times New Roman" w:eastAsia="黑体"/>
          <w:b w:val="0"/>
          <w:lang w:val="en-US" w:eastAsia="zh-CN"/>
        </w:rPr>
        <w:t xml:space="preserve"> </w:t>
      </w:r>
    </w:p>
    <w:p w14:paraId="4188899D">
      <w:pPr>
        <w:pageBreakBefore w:val="0"/>
        <w:kinsoku/>
        <w:wordWrap/>
        <w:overflowPunct/>
        <w:topLinePunct w:val="0"/>
        <w:bidi w:val="0"/>
        <w:spacing w:line="600" w:lineRule="exact"/>
        <w:ind w:left="0" w:leftChars="0" w:firstLine="420" w:firstLineChars="200"/>
        <w:textAlignment w:val="auto"/>
        <w:rPr>
          <w:rFonts w:hint="eastAsia" w:ascii="仿宋" w:hAnsi="仿宋" w:eastAsia="仿宋" w:cs="Times New Roman"/>
          <w:color w:val="auto"/>
          <w:sz w:val="32"/>
          <w:szCs w:val="32"/>
          <w:highlight w:val="none"/>
        </w:rPr>
      </w:pPr>
      <w:r>
        <w:rPr>
          <w:rFonts w:hint="eastAsia" w:eastAsia="黑体"/>
          <w:b w:val="0"/>
          <w:lang w:val="en-US" w:eastAsia="zh-CN"/>
        </w:rPr>
        <w:t xml:space="preserve">    </w:t>
      </w:r>
      <w:r>
        <w:rPr>
          <w:rFonts w:hint="eastAsia" w:ascii="仿宋" w:hAnsi="仿宋" w:eastAsia="仿宋" w:cs="Times New Roman"/>
          <w:color w:val="auto"/>
          <w:sz w:val="32"/>
          <w:szCs w:val="32"/>
          <w:highlight w:val="none"/>
          <w:lang w:val="en-US" w:eastAsia="zh-CN"/>
        </w:rPr>
        <w:t>市</w:t>
      </w:r>
      <w:r>
        <w:rPr>
          <w:rFonts w:hint="eastAsia" w:ascii="仿宋" w:hAnsi="仿宋" w:eastAsia="仿宋" w:cs="Times New Roman"/>
          <w:color w:val="auto"/>
          <w:sz w:val="32"/>
          <w:szCs w:val="32"/>
          <w:highlight w:val="none"/>
        </w:rPr>
        <w:t>政务管理局贯彻落实党中央关于政务服务工作的方针政策和省委、市委的决策部署，在履行职责过程中坚持和加强党对政务服务工作的集中统一领导。主要职责是：</w:t>
      </w:r>
    </w:p>
    <w:p w14:paraId="2D3A222A">
      <w:pPr>
        <w:pageBreakBefore w:val="0"/>
        <w:kinsoku/>
        <w:wordWrap/>
        <w:overflowPunct/>
        <w:topLinePunct w:val="0"/>
        <w:bidi w:val="0"/>
        <w:spacing w:line="600" w:lineRule="exact"/>
        <w:ind w:left="0" w:leftChars="0"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1.组织拟订全市政务服务、行政审批制度改革和公共资源交易管理服务发展规划、政策和措施并组织、指导实施。</w:t>
      </w:r>
    </w:p>
    <w:p w14:paraId="28C77254">
      <w:pPr>
        <w:pageBreakBefore w:val="0"/>
        <w:kinsoku/>
        <w:wordWrap/>
        <w:overflowPunct/>
        <w:topLinePunct w:val="0"/>
        <w:bidi w:val="0"/>
        <w:spacing w:line="600" w:lineRule="exact"/>
        <w:ind w:left="0" w:leftChars="0"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2.负责政务服务管理工作。指导、协调并推进全市政务服务体系建设。指导、协调和监督市级部门（单位）政务服务工作。指导、监督相关电子政务服务平台建设和运行工作。对县、区政务服务管理机构进行业务指导。</w:t>
      </w:r>
    </w:p>
    <w:p w14:paraId="2F11E583">
      <w:pPr>
        <w:pageBreakBefore w:val="0"/>
        <w:kinsoku/>
        <w:wordWrap/>
        <w:overflowPunct/>
        <w:topLinePunct w:val="0"/>
        <w:bidi w:val="0"/>
        <w:spacing w:line="600" w:lineRule="exact"/>
        <w:ind w:left="0" w:leftChars="0"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3.负责指导、协调、监督并推进全市深化行政审批制度改革工作。</w:t>
      </w:r>
    </w:p>
    <w:p w14:paraId="30BDEF02">
      <w:pPr>
        <w:pageBreakBefore w:val="0"/>
        <w:kinsoku/>
        <w:wordWrap/>
        <w:overflowPunct/>
        <w:topLinePunct w:val="0"/>
        <w:bidi w:val="0"/>
        <w:spacing w:line="600" w:lineRule="exact"/>
        <w:ind w:left="0" w:leftChars="0"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4.负责公共资源交易服务管理工作。指导、协调并推进全市公共资源交易服务体系建设，牵头负责公共资源交易主体信用体系建设。指导、协调、监督管理公共资源交易服务工作。</w:t>
      </w:r>
    </w:p>
    <w:p w14:paraId="7CC32EDB">
      <w:pPr>
        <w:pageBreakBefore w:val="0"/>
        <w:kinsoku/>
        <w:wordWrap/>
        <w:overflowPunct/>
        <w:topLinePunct w:val="0"/>
        <w:bidi w:val="0"/>
        <w:spacing w:line="600" w:lineRule="exact"/>
        <w:ind w:left="0" w:leftChars="0"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5.指导、协调、监督、考核进驻部门（单位）的政务服务工作，审核进驻政务服务事项，对部门（单位）独立设置的办事大厅进行业务指导和监督。</w:t>
      </w:r>
    </w:p>
    <w:p w14:paraId="18457C5A">
      <w:pPr>
        <w:pageBreakBefore w:val="0"/>
        <w:kinsoku/>
        <w:wordWrap/>
        <w:overflowPunct/>
        <w:topLinePunct w:val="0"/>
        <w:bidi w:val="0"/>
        <w:spacing w:line="600" w:lineRule="exact"/>
        <w:ind w:left="0" w:leftChars="0"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6.按照省、市要求，指导、推进相对集中行政许可权改革。</w:t>
      </w:r>
    </w:p>
    <w:p w14:paraId="25D07CC9">
      <w:pPr>
        <w:pageBreakBefore w:val="0"/>
        <w:kinsoku/>
        <w:wordWrap/>
        <w:overflowPunct/>
        <w:topLinePunct w:val="0"/>
        <w:bidi w:val="0"/>
        <w:spacing w:line="600" w:lineRule="exact"/>
        <w:ind w:left="0" w:leftChars="0"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7.负责职责范围的安全生产和职业健康、生态环境保护、审批服务便民化等工作。</w:t>
      </w:r>
    </w:p>
    <w:p w14:paraId="5DD4BD26">
      <w:pPr>
        <w:pageBreakBefore w:val="0"/>
        <w:kinsoku/>
        <w:wordWrap/>
        <w:overflowPunct/>
        <w:topLinePunct w:val="0"/>
        <w:bidi w:val="0"/>
        <w:spacing w:line="600" w:lineRule="exact"/>
        <w:ind w:left="0" w:leftChars="0"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8.完成市委、市政府交办的其他任务。</w:t>
      </w:r>
    </w:p>
    <w:p w14:paraId="7EF9B1D5">
      <w:pPr>
        <w:pageBreakBefore w:val="0"/>
        <w:numPr>
          <w:ilvl w:val="0"/>
          <w:numId w:val="0"/>
        </w:numPr>
        <w:kinsoku/>
        <w:wordWrap/>
        <w:overflowPunct/>
        <w:topLinePunct w:val="0"/>
        <w:bidi w:val="0"/>
        <w:ind w:left="0" w:leftChars="0" w:firstLine="640" w:firstLineChars="200"/>
        <w:textAlignment w:val="auto"/>
        <w:rPr>
          <w:rFonts w:hint="default" w:ascii="Times New Roman" w:hAnsi="Times New Roman" w:eastAsia="仿宋_GB2312" w:cs="仿宋_GB2312"/>
          <w:sz w:val="32"/>
          <w:szCs w:val="32"/>
          <w:lang w:val="en-US" w:eastAsia="zh-CN"/>
        </w:rPr>
      </w:pPr>
      <w:bookmarkStart w:id="14" w:name="_Toc112832523"/>
      <w:r>
        <w:rPr>
          <w:rFonts w:hint="eastAsia" w:ascii="仿宋" w:hAnsi="仿宋" w:eastAsia="仿宋" w:cs="Times New Roman"/>
          <w:color w:val="auto"/>
          <w:sz w:val="32"/>
          <w:szCs w:val="32"/>
          <w:highlight w:val="none"/>
        </w:rPr>
        <w:t>9.职能转变。坚持以人民为中心的发展思想，以方便企业和群众办事为目标，努力提高政务服务质量和效率。规范行政审批行为，督促落实审批事项事中事后监管措施。加快推进审批服务便民化相关举措，持续开展减证便民行动，积极推进政务服务“一网、一门、一次”改革。</w:t>
      </w:r>
      <w:bookmarkEnd w:id="14"/>
    </w:p>
    <w:p w14:paraId="7706AF12">
      <w:pPr>
        <w:pStyle w:val="4"/>
        <w:pageBreakBefore w:val="0"/>
        <w:kinsoku/>
        <w:wordWrap/>
        <w:overflowPunct/>
        <w:topLinePunct w:val="0"/>
        <w:bidi w:val="0"/>
        <w:spacing w:before="0" w:after="0"/>
        <w:ind w:left="0" w:leftChars="0" w:firstLine="640" w:firstLineChars="200"/>
        <w:textAlignment w:val="auto"/>
        <w:rPr>
          <w:rStyle w:val="31"/>
          <w:rFonts w:ascii="Times New Roman" w:hAnsi="Times New Roman"/>
          <w:b w:val="0"/>
          <w:bCs w:val="0"/>
        </w:rPr>
      </w:pPr>
      <w:bookmarkStart w:id="15" w:name="_Toc15396601"/>
      <w:bookmarkStart w:id="16" w:name="_Toc15377200"/>
      <w:r>
        <w:rPr>
          <w:rFonts w:hint="eastAsia" w:ascii="Times New Roman" w:hAnsi="Times New Roman" w:eastAsia="黑体"/>
          <w:b w:val="0"/>
        </w:rPr>
        <w:t>二、机</w:t>
      </w:r>
      <w:r>
        <w:rPr>
          <w:rStyle w:val="31"/>
          <w:rFonts w:hint="eastAsia" w:ascii="Times New Roman" w:hAnsi="Times New Roman" w:eastAsia="黑体"/>
          <w:b w:val="0"/>
          <w:bCs w:val="0"/>
        </w:rPr>
        <w:t>构设置</w:t>
      </w:r>
      <w:bookmarkEnd w:id="15"/>
      <w:bookmarkEnd w:id="16"/>
    </w:p>
    <w:p w14:paraId="35DF896F">
      <w:pPr>
        <w:pageBreakBefore w:val="0"/>
        <w:kinsoku/>
        <w:wordWrap/>
        <w:overflowPunct/>
        <w:topLinePunct w:val="0"/>
        <w:bidi w:val="0"/>
        <w:ind w:left="0" w:leftChars="0" w:firstLine="640" w:firstLineChars="200"/>
        <w:textAlignment w:val="auto"/>
        <w:rPr>
          <w:rFonts w:ascii="仿宋" w:hAnsi="仿宋" w:eastAsia="仿宋"/>
          <w:color w:val="auto"/>
          <w:sz w:val="32"/>
          <w:szCs w:val="32"/>
          <w:highlight w:val="none"/>
        </w:rPr>
      </w:pPr>
      <w:r>
        <w:rPr>
          <w:rFonts w:hint="eastAsia" w:ascii="仿宋_GB2312" w:hAnsi="仿宋" w:eastAsia="仿宋_GB2312"/>
          <w:kern w:val="0"/>
          <w:sz w:val="32"/>
          <w:szCs w:val="32"/>
        </w:rPr>
        <w:t>攀枝花市政务服务管理局</w:t>
      </w:r>
      <w:r>
        <w:rPr>
          <w:rFonts w:hint="eastAsia" w:ascii="仿宋" w:hAnsi="仿宋" w:eastAsia="仿宋"/>
          <w:color w:val="auto"/>
          <w:sz w:val="32"/>
          <w:szCs w:val="32"/>
          <w:highlight w:val="none"/>
        </w:rPr>
        <w:t>下属二级</w:t>
      </w:r>
      <w:r>
        <w:rPr>
          <w:rFonts w:hint="eastAsia" w:ascii="仿宋" w:hAnsi="仿宋" w:eastAsia="仿宋"/>
          <w:color w:val="auto"/>
          <w:sz w:val="32"/>
          <w:szCs w:val="32"/>
          <w:highlight w:val="none"/>
          <w:lang w:eastAsia="zh-CN"/>
        </w:rPr>
        <w:t>预算</w:t>
      </w:r>
      <w:r>
        <w:rPr>
          <w:rFonts w:hint="eastAsia" w:ascii="仿宋" w:hAnsi="仿宋" w:eastAsia="仿宋"/>
          <w:color w:val="auto"/>
          <w:sz w:val="32"/>
          <w:szCs w:val="32"/>
          <w:highlight w:val="none"/>
        </w:rPr>
        <w:t>单位</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个，其中行政单位</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个，参照公务员法管理的事业单位</w:t>
      </w:r>
      <w:r>
        <w:rPr>
          <w:rFonts w:hint="eastAsia" w:ascii="仿宋" w:hAnsi="仿宋" w:eastAsia="仿宋"/>
          <w:bCs/>
          <w:color w:val="auto"/>
          <w:sz w:val="32"/>
          <w:szCs w:val="32"/>
          <w:highlight w:val="none"/>
          <w:lang w:val="en-US" w:eastAsia="zh-CN"/>
        </w:rPr>
        <w:t>0</w:t>
      </w:r>
      <w:r>
        <w:rPr>
          <w:rFonts w:hint="eastAsia" w:ascii="仿宋" w:hAnsi="仿宋" w:eastAsia="仿宋"/>
          <w:color w:val="auto"/>
          <w:sz w:val="32"/>
          <w:szCs w:val="32"/>
          <w:highlight w:val="none"/>
        </w:rPr>
        <w:t>个，其他事业单位</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个。</w:t>
      </w:r>
    </w:p>
    <w:p w14:paraId="58F628D9">
      <w:pPr>
        <w:pStyle w:val="2"/>
        <w:pageBreakBefore w:val="0"/>
        <w:kinsoku/>
        <w:wordWrap/>
        <w:overflowPunct/>
        <w:topLinePunct w:val="0"/>
        <w:bidi w:val="0"/>
        <w:adjustRightInd w:val="0"/>
        <w:snapToGrid w:val="0"/>
        <w:spacing w:beforeLines="0" w:line="600" w:lineRule="exact"/>
        <w:ind w:left="0" w:leftChars="0" w:firstLine="672" w:firstLineChars="210"/>
        <w:textAlignment w:val="auto"/>
        <w:rPr>
          <w:rFonts w:hint="eastAsia" w:ascii="仿宋" w:hAnsi="仿宋" w:eastAsia="仿宋" w:cs="Times New Roman"/>
          <w:color w:val="auto"/>
          <w:kern w:val="2"/>
          <w:sz w:val="32"/>
          <w:szCs w:val="32"/>
          <w:highlight w:val="none"/>
          <w:lang w:val="en-US" w:eastAsia="zh-CN" w:bidi="ar-SA"/>
        </w:rPr>
      </w:pPr>
      <w:r>
        <w:rPr>
          <w:rFonts w:hint="eastAsia" w:ascii="仿宋" w:hAnsi="仿宋" w:eastAsia="仿宋" w:cs="Times New Roman"/>
          <w:color w:val="auto"/>
          <w:kern w:val="2"/>
          <w:sz w:val="32"/>
          <w:szCs w:val="32"/>
          <w:highlight w:val="none"/>
          <w:lang w:val="en-US" w:eastAsia="zh-CN" w:bidi="ar-SA"/>
        </w:rPr>
        <w:t>纳入攀枝花市政务服务管理局2024年度部门决算编制范围的二级预算单位包括：</w:t>
      </w:r>
    </w:p>
    <w:p w14:paraId="7BC55DC0">
      <w:pPr>
        <w:pStyle w:val="38"/>
        <w:pageBreakBefore w:val="0"/>
        <w:kinsoku/>
        <w:wordWrap/>
        <w:overflowPunct/>
        <w:topLinePunct w:val="0"/>
        <w:bidi w:val="0"/>
        <w:spacing w:before="0" w:beforeAutospacing="0" w:after="0" w:afterAutospacing="0"/>
        <w:ind w:left="0" w:leftChars="0" w:firstLine="640" w:firstLineChars="200"/>
        <w:textAlignment w:val="auto"/>
        <w:rPr>
          <w:rFonts w:hint="eastAsia" w:ascii="仿宋" w:hAnsi="仿宋" w:eastAsia="仿宋" w:cs="Times New Roman"/>
          <w:color w:val="auto"/>
          <w:kern w:val="2"/>
          <w:sz w:val="32"/>
          <w:szCs w:val="32"/>
          <w:highlight w:val="none"/>
          <w:lang w:val="en-US" w:eastAsia="zh-CN" w:bidi="ar-SA"/>
        </w:rPr>
      </w:pPr>
      <w:bookmarkStart w:id="17" w:name="_Toc15378449"/>
      <w:bookmarkStart w:id="18" w:name="_Toc15377202"/>
      <w:bookmarkStart w:id="19" w:name="_Toc15377433"/>
      <w:bookmarkStart w:id="20" w:name="_Toc15306276"/>
      <w:r>
        <w:rPr>
          <w:rFonts w:hint="eastAsia" w:ascii="仿宋" w:hAnsi="仿宋" w:eastAsia="仿宋" w:cs="Times New Roman"/>
          <w:color w:val="auto"/>
          <w:kern w:val="2"/>
          <w:sz w:val="32"/>
          <w:szCs w:val="32"/>
          <w:highlight w:val="none"/>
          <w:lang w:val="en-US" w:eastAsia="zh-CN" w:bidi="ar-SA"/>
        </w:rPr>
        <w:t>攀枝花市公共资源交易服务中心</w:t>
      </w:r>
    </w:p>
    <w:bookmarkEnd w:id="17"/>
    <w:bookmarkEnd w:id="18"/>
    <w:bookmarkEnd w:id="19"/>
    <w:bookmarkEnd w:id="20"/>
    <w:p w14:paraId="72E0D972">
      <w:pPr>
        <w:pageBreakBefore w:val="0"/>
        <w:widowControl/>
        <w:kinsoku/>
        <w:wordWrap/>
        <w:overflowPunct/>
        <w:topLinePunct w:val="0"/>
        <w:bidi w:val="0"/>
        <w:ind w:left="0" w:leftChars="0"/>
        <w:jc w:val="left"/>
        <w:textAlignment w:val="auto"/>
        <w:rPr>
          <w:rFonts w:eastAsia="仿宋"/>
          <w:kern w:val="0"/>
          <w:sz w:val="32"/>
          <w:szCs w:val="32"/>
        </w:rPr>
      </w:pPr>
      <w:r>
        <w:rPr>
          <w:rFonts w:eastAsia="仿宋"/>
          <w:sz w:val="32"/>
          <w:szCs w:val="32"/>
        </w:rPr>
        <w:br w:type="page"/>
      </w:r>
    </w:p>
    <w:p w14:paraId="728C9E7E">
      <w:pPr>
        <w:pStyle w:val="3"/>
        <w:pageBreakBefore w:val="0"/>
        <w:kinsoku/>
        <w:wordWrap/>
        <w:overflowPunct/>
        <w:topLinePunct w:val="0"/>
        <w:bidi w:val="0"/>
        <w:spacing w:before="0" w:after="0"/>
        <w:ind w:left="0" w:leftChars="0"/>
        <w:jc w:val="center"/>
        <w:textAlignment w:val="auto"/>
        <w:rPr>
          <w:rFonts w:eastAsia="方正小标宋简体" w:cs="方正小标宋简体"/>
          <w:b w:val="0"/>
        </w:rPr>
      </w:pPr>
      <w:bookmarkStart w:id="21" w:name="_Toc15377204"/>
      <w:bookmarkStart w:id="22" w:name="_Toc15396602"/>
      <w:r>
        <w:rPr>
          <w:rFonts w:hint="eastAsia" w:eastAsia="方正小标宋简体" w:cs="方正小标宋简体"/>
          <w:b w:val="0"/>
        </w:rPr>
        <w:t>第二部分  2025年度部门决算情况说明</w:t>
      </w:r>
      <w:bookmarkEnd w:id="21"/>
      <w:bookmarkEnd w:id="22"/>
    </w:p>
    <w:p w14:paraId="20D9CD01">
      <w:pPr>
        <w:pageBreakBefore w:val="0"/>
        <w:kinsoku/>
        <w:wordWrap/>
        <w:overflowPunct/>
        <w:topLinePunct w:val="0"/>
        <w:bidi w:val="0"/>
        <w:ind w:left="0" w:leftChars="0"/>
        <w:textAlignment w:val="auto"/>
      </w:pPr>
    </w:p>
    <w:p w14:paraId="16C6B516">
      <w:pPr>
        <w:pStyle w:val="29"/>
        <w:pageBreakBefore w:val="0"/>
        <w:kinsoku/>
        <w:wordWrap/>
        <w:overflowPunct/>
        <w:topLinePunct w:val="0"/>
        <w:bidi w:val="0"/>
        <w:spacing w:line="600" w:lineRule="exact"/>
        <w:ind w:left="0" w:leftChars="0" w:firstLine="640"/>
        <w:textAlignment w:val="auto"/>
        <w:outlineLvl w:val="1"/>
        <w:rPr>
          <w:rStyle w:val="31"/>
          <w:rFonts w:ascii="Times New Roman" w:hAnsi="Times New Roman" w:eastAsia="黑体"/>
          <w:b w:val="0"/>
        </w:rPr>
      </w:pPr>
      <w:bookmarkStart w:id="23" w:name="_Toc15377205"/>
      <w:bookmarkStart w:id="24" w:name="_Toc15396603"/>
      <w:r>
        <w:rPr>
          <w:rFonts w:hint="eastAsia" w:eastAsia="黑体"/>
          <w:sz w:val="32"/>
          <w:szCs w:val="32"/>
        </w:rPr>
        <w:t>一、收</w:t>
      </w:r>
      <w:r>
        <w:rPr>
          <w:rStyle w:val="31"/>
          <w:rFonts w:hint="eastAsia" w:ascii="Times New Roman" w:hAnsi="Times New Roman" w:eastAsia="黑体"/>
          <w:b w:val="0"/>
        </w:rPr>
        <w:t>入支出决算总体情况说明</w:t>
      </w:r>
      <w:bookmarkEnd w:id="23"/>
      <w:bookmarkEnd w:id="24"/>
    </w:p>
    <w:p w14:paraId="1BD63169">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r>
        <w:rPr>
          <w:rFonts w:hint="eastAsia" w:eastAsia="仿宋_GB2312" w:cs="仿宋_GB2312"/>
          <w:sz w:val="32"/>
          <w:szCs w:val="32"/>
        </w:rPr>
        <w:t>2025年度收入、支出总计均为1696.59万元。与上年度相比，收入、支出总计各减少</w:t>
      </w:r>
      <w:r>
        <w:rPr>
          <w:rFonts w:hint="eastAsia" w:eastAsia="仿宋_GB2312" w:cs="仿宋_GB2312"/>
          <w:sz w:val="32"/>
          <w:szCs w:val="32"/>
          <w:lang w:val="en-US" w:eastAsia="zh-CN"/>
        </w:rPr>
        <w:t>563.68</w:t>
      </w:r>
      <w:r>
        <w:rPr>
          <w:rFonts w:hint="eastAsia" w:eastAsia="仿宋_GB2312" w:cs="仿宋_GB2312"/>
          <w:sz w:val="32"/>
          <w:szCs w:val="32"/>
        </w:rPr>
        <w:t>万元，下降</w:t>
      </w:r>
      <w:r>
        <w:rPr>
          <w:rFonts w:hint="eastAsia" w:eastAsia="仿宋_GB2312" w:cs="仿宋_GB2312"/>
          <w:sz w:val="32"/>
          <w:szCs w:val="32"/>
          <w:lang w:val="en-US" w:eastAsia="zh-CN"/>
        </w:rPr>
        <w:t>24.94</w:t>
      </w:r>
      <w:r>
        <w:rPr>
          <w:rFonts w:hint="eastAsia" w:eastAsia="仿宋_GB2312" w:cs="仿宋_GB2312"/>
          <w:sz w:val="32"/>
          <w:szCs w:val="32"/>
        </w:rPr>
        <w:t>%。主要变动原因是</w:t>
      </w:r>
      <w:r>
        <w:rPr>
          <w:rFonts w:hint="eastAsia" w:eastAsia="仿宋_GB2312" w:cs="仿宋_GB2312"/>
          <w:sz w:val="32"/>
          <w:szCs w:val="32"/>
          <w:lang w:val="en-US" w:eastAsia="zh-CN"/>
        </w:rPr>
        <w:t>2024年有清偿债务项目，2025年未有此类项目。</w:t>
      </w:r>
    </w:p>
    <w:p w14:paraId="7D1682AB">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r>
        <w:drawing>
          <wp:anchor distT="0" distB="0" distL="114300" distR="114300" simplePos="0" relativeHeight="251659264" behindDoc="0" locked="0" layoutInCell="1" allowOverlap="1">
            <wp:simplePos x="0" y="0"/>
            <wp:positionH relativeFrom="column">
              <wp:posOffset>878840</wp:posOffset>
            </wp:positionH>
            <wp:positionV relativeFrom="paragraph">
              <wp:posOffset>73660</wp:posOffset>
            </wp:positionV>
            <wp:extent cx="3674110" cy="3169920"/>
            <wp:effectExtent l="0" t="0" r="1397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3674110" cy="3169920"/>
                    </a:xfrm>
                    <a:prstGeom prst="rect">
                      <a:avLst/>
                    </a:prstGeom>
                    <a:noFill/>
                    <a:ln>
                      <a:noFill/>
                    </a:ln>
                  </pic:spPr>
                </pic:pic>
              </a:graphicData>
            </a:graphic>
          </wp:anchor>
        </w:drawing>
      </w:r>
    </w:p>
    <w:p w14:paraId="4CB6E65C">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669A4668">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2F1493C9">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74E9349D">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1DA9D7C2">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0E0879CF">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02102B04">
      <w:pPr>
        <w:pStyle w:val="29"/>
        <w:pageBreakBefore w:val="0"/>
        <w:kinsoku/>
        <w:wordWrap/>
        <w:overflowPunct/>
        <w:topLinePunct w:val="0"/>
        <w:bidi w:val="0"/>
        <w:spacing w:line="600" w:lineRule="exact"/>
        <w:ind w:left="0" w:leftChars="0" w:firstLine="0" w:firstLineChars="0"/>
        <w:textAlignment w:val="auto"/>
        <w:outlineLvl w:val="1"/>
        <w:rPr>
          <w:rFonts w:hint="eastAsia" w:eastAsia="仿宋_GB2312" w:cs="仿宋_GB2312"/>
          <w:sz w:val="32"/>
          <w:szCs w:val="32"/>
          <w:lang w:val="en-US" w:eastAsia="zh-CN"/>
        </w:rPr>
      </w:pPr>
    </w:p>
    <w:p w14:paraId="4DC2DC97">
      <w:pPr>
        <w:pStyle w:val="29"/>
        <w:pageBreakBefore w:val="0"/>
        <w:kinsoku/>
        <w:wordWrap/>
        <w:overflowPunct/>
        <w:topLinePunct w:val="0"/>
        <w:bidi w:val="0"/>
        <w:spacing w:line="600" w:lineRule="exact"/>
        <w:ind w:left="0" w:leftChars="0" w:firstLine="0" w:firstLineChars="0"/>
        <w:textAlignment w:val="auto"/>
        <w:outlineLvl w:val="1"/>
        <w:rPr>
          <w:rFonts w:hint="eastAsia" w:eastAsia="仿宋_GB2312" w:cs="仿宋_GB2312"/>
          <w:sz w:val="32"/>
          <w:szCs w:val="32"/>
          <w:lang w:val="en-US" w:eastAsia="zh-CN"/>
        </w:rPr>
      </w:pPr>
    </w:p>
    <w:p w14:paraId="14334CAC">
      <w:pPr>
        <w:pStyle w:val="29"/>
        <w:pageBreakBefore w:val="0"/>
        <w:kinsoku/>
        <w:wordWrap/>
        <w:overflowPunct/>
        <w:topLinePunct w:val="0"/>
        <w:bidi w:val="0"/>
        <w:spacing w:line="600" w:lineRule="exact"/>
        <w:ind w:left="0" w:leftChars="0" w:firstLine="640"/>
        <w:textAlignment w:val="auto"/>
        <w:outlineLvl w:val="1"/>
        <w:rPr>
          <w:rFonts w:eastAsia="仿宋_GB2312" w:cs="仿宋_GB2312"/>
          <w:sz w:val="32"/>
          <w:szCs w:val="32"/>
        </w:rPr>
      </w:pPr>
      <w:r>
        <w:rPr>
          <w:rFonts w:hint="eastAsia" w:eastAsia="仿宋_GB2312" w:cs="仿宋_GB2312"/>
          <w:sz w:val="32"/>
          <w:szCs w:val="32"/>
        </w:rPr>
        <w:t>（图1：收入、支出决算总计变动情况图）（柱状图）</w:t>
      </w:r>
    </w:p>
    <w:p w14:paraId="591F5448">
      <w:pPr>
        <w:pStyle w:val="29"/>
        <w:pageBreakBefore w:val="0"/>
        <w:kinsoku/>
        <w:wordWrap/>
        <w:overflowPunct/>
        <w:topLinePunct w:val="0"/>
        <w:bidi w:val="0"/>
        <w:spacing w:line="600" w:lineRule="exact"/>
        <w:ind w:left="0" w:leftChars="0" w:firstLine="640"/>
        <w:textAlignment w:val="auto"/>
        <w:outlineLvl w:val="1"/>
        <w:rPr>
          <w:rFonts w:eastAsia="黑体"/>
          <w:sz w:val="32"/>
          <w:szCs w:val="32"/>
        </w:rPr>
      </w:pPr>
      <w:bookmarkStart w:id="25" w:name="_Toc15377206"/>
      <w:bookmarkStart w:id="26" w:name="_Toc15396604"/>
      <w:r>
        <w:rPr>
          <w:rFonts w:hint="eastAsia" w:eastAsia="黑体"/>
          <w:sz w:val="32"/>
          <w:szCs w:val="32"/>
        </w:rPr>
        <w:t>二、收入决算情况说明</w:t>
      </w:r>
      <w:bookmarkEnd w:id="25"/>
      <w:bookmarkEnd w:id="26"/>
    </w:p>
    <w:p w14:paraId="626F3FDB">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r>
        <w:rPr>
          <w:rFonts w:hint="eastAsia" w:eastAsia="仿宋_GB2312" w:cs="仿宋_GB2312"/>
          <w:sz w:val="32"/>
          <w:szCs w:val="32"/>
        </w:rPr>
        <w:t>2025年度本年收入合计1696.59万元，其中：一般公共预算财政拨款收入1696.59万元，占</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57DF0DA1">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p>
    <w:p w14:paraId="67FDF8AB">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p>
    <w:p w14:paraId="173EF364">
      <w:pPr>
        <w:pStyle w:val="29"/>
        <w:pageBreakBefore w:val="0"/>
        <w:kinsoku/>
        <w:wordWrap/>
        <w:overflowPunct/>
        <w:topLinePunct w:val="0"/>
        <w:bidi w:val="0"/>
        <w:spacing w:line="600" w:lineRule="exact"/>
        <w:ind w:left="0" w:leftChars="0" w:firstLine="0" w:firstLineChars="0"/>
        <w:textAlignment w:val="auto"/>
        <w:outlineLvl w:val="1"/>
        <w:rPr>
          <w:rFonts w:hint="eastAsia" w:eastAsia="仿宋_GB2312" w:cs="仿宋_GB2312"/>
          <w:sz w:val="32"/>
          <w:szCs w:val="32"/>
          <w:lang w:eastAsia="zh-CN"/>
        </w:rPr>
      </w:pPr>
    </w:p>
    <w:p w14:paraId="69D30A88">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r>
        <w:drawing>
          <wp:anchor distT="0" distB="0" distL="114300" distR="114300" simplePos="0" relativeHeight="251660288" behindDoc="0" locked="0" layoutInCell="1" allowOverlap="1">
            <wp:simplePos x="0" y="0"/>
            <wp:positionH relativeFrom="column">
              <wp:posOffset>1144270</wp:posOffset>
            </wp:positionH>
            <wp:positionV relativeFrom="paragraph">
              <wp:posOffset>160020</wp:posOffset>
            </wp:positionV>
            <wp:extent cx="3250565" cy="1934845"/>
            <wp:effectExtent l="0" t="0" r="10795" b="63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3250565" cy="1934845"/>
                    </a:xfrm>
                    <a:prstGeom prst="rect">
                      <a:avLst/>
                    </a:prstGeom>
                    <a:noFill/>
                    <a:ln>
                      <a:noFill/>
                    </a:ln>
                  </pic:spPr>
                </pic:pic>
              </a:graphicData>
            </a:graphic>
          </wp:anchor>
        </w:drawing>
      </w:r>
    </w:p>
    <w:p w14:paraId="38ABB12D">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p>
    <w:p w14:paraId="0671FCBE">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p>
    <w:p w14:paraId="22C4072F">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p>
    <w:p w14:paraId="3D30FE2C">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p>
    <w:p w14:paraId="0346CB92">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p>
    <w:p w14:paraId="3589945D">
      <w:pPr>
        <w:pStyle w:val="29"/>
        <w:pageBreakBefore w:val="0"/>
        <w:kinsoku/>
        <w:wordWrap/>
        <w:overflowPunct/>
        <w:topLinePunct w:val="0"/>
        <w:bidi w:val="0"/>
        <w:spacing w:line="600" w:lineRule="exact"/>
        <w:ind w:left="0" w:leftChars="0" w:firstLine="1600" w:firstLineChars="500"/>
        <w:textAlignment w:val="auto"/>
        <w:outlineLvl w:val="1"/>
        <w:rPr>
          <w:rFonts w:eastAsia="仿宋_GB2312" w:cs="仿宋_GB2312"/>
          <w:sz w:val="32"/>
          <w:szCs w:val="32"/>
        </w:rPr>
      </w:pPr>
      <w:r>
        <w:rPr>
          <w:rFonts w:hint="eastAsia" w:eastAsia="仿宋_GB2312" w:cs="仿宋_GB2312"/>
          <w:sz w:val="32"/>
          <w:szCs w:val="32"/>
        </w:rPr>
        <w:t>（图2：收入决算结构图）（饼状图）</w:t>
      </w:r>
    </w:p>
    <w:p w14:paraId="75A192DE">
      <w:pPr>
        <w:pStyle w:val="29"/>
        <w:pageBreakBefore w:val="0"/>
        <w:kinsoku/>
        <w:wordWrap/>
        <w:overflowPunct/>
        <w:topLinePunct w:val="0"/>
        <w:bidi w:val="0"/>
        <w:spacing w:line="600" w:lineRule="exact"/>
        <w:ind w:left="0" w:leftChars="0" w:firstLine="640"/>
        <w:textAlignment w:val="auto"/>
        <w:outlineLvl w:val="1"/>
        <w:rPr>
          <w:rStyle w:val="31"/>
          <w:rFonts w:ascii="Times New Roman" w:hAnsi="Times New Roman" w:eastAsia="黑体"/>
          <w:b w:val="0"/>
        </w:rPr>
      </w:pPr>
      <w:bookmarkStart w:id="27" w:name="_Toc15396605"/>
      <w:bookmarkStart w:id="28" w:name="_Toc15377207"/>
      <w:r>
        <w:rPr>
          <w:rFonts w:hint="eastAsia" w:eastAsia="黑体"/>
          <w:sz w:val="32"/>
          <w:szCs w:val="32"/>
        </w:rPr>
        <w:t>三、支</w:t>
      </w:r>
      <w:r>
        <w:rPr>
          <w:rStyle w:val="31"/>
          <w:rFonts w:hint="eastAsia" w:ascii="Times New Roman" w:hAnsi="Times New Roman" w:eastAsia="黑体"/>
          <w:b w:val="0"/>
        </w:rPr>
        <w:t>出决算情况说明</w:t>
      </w:r>
      <w:bookmarkEnd w:id="27"/>
      <w:bookmarkEnd w:id="28"/>
    </w:p>
    <w:p w14:paraId="2C357EBA">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rPr>
      </w:pPr>
      <w:r>
        <w:rPr>
          <w:rFonts w:hint="eastAsia" w:eastAsia="仿宋_GB2312" w:cs="仿宋_GB2312"/>
          <w:sz w:val="32"/>
          <w:szCs w:val="32"/>
        </w:rPr>
        <w:t>2025年度本年支出合计1696.59万元，其中：基本支出1120.96万元，占</w:t>
      </w:r>
      <w:r>
        <w:rPr>
          <w:rFonts w:hint="eastAsia" w:eastAsia="仿宋_GB2312" w:cs="仿宋_GB2312"/>
          <w:sz w:val="32"/>
          <w:szCs w:val="32"/>
          <w:lang w:val="en-US" w:eastAsia="zh-CN"/>
        </w:rPr>
        <w:t>66.07</w:t>
      </w:r>
      <w:r>
        <w:rPr>
          <w:rFonts w:hint="eastAsia" w:eastAsia="仿宋_GB2312" w:cs="仿宋_GB2312"/>
          <w:sz w:val="32"/>
          <w:szCs w:val="32"/>
        </w:rPr>
        <w:t>%；项目支出575.63万元，占</w:t>
      </w:r>
      <w:r>
        <w:rPr>
          <w:rFonts w:hint="eastAsia" w:eastAsia="仿宋_GB2312" w:cs="仿宋_GB2312"/>
          <w:sz w:val="32"/>
          <w:szCs w:val="32"/>
          <w:lang w:val="en-US" w:eastAsia="zh-CN"/>
        </w:rPr>
        <w:t>33.93</w:t>
      </w:r>
      <w:r>
        <w:rPr>
          <w:rFonts w:hint="eastAsia" w:eastAsia="仿宋_GB2312" w:cs="仿宋_GB2312"/>
          <w:sz w:val="32"/>
          <w:szCs w:val="32"/>
        </w:rPr>
        <w:t>%。</w:t>
      </w:r>
    </w:p>
    <w:p w14:paraId="4527F38E">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rPr>
      </w:pPr>
      <w:r>
        <w:drawing>
          <wp:anchor distT="0" distB="0" distL="114300" distR="114300" simplePos="0" relativeHeight="251661312" behindDoc="0" locked="0" layoutInCell="1" allowOverlap="1">
            <wp:simplePos x="0" y="0"/>
            <wp:positionH relativeFrom="column">
              <wp:posOffset>1368425</wp:posOffset>
            </wp:positionH>
            <wp:positionV relativeFrom="paragraph">
              <wp:posOffset>260350</wp:posOffset>
            </wp:positionV>
            <wp:extent cx="2823210" cy="2734310"/>
            <wp:effectExtent l="0" t="0" r="11430" b="889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2823210" cy="2734310"/>
                    </a:xfrm>
                    <a:prstGeom prst="rect">
                      <a:avLst/>
                    </a:prstGeom>
                    <a:noFill/>
                    <a:ln>
                      <a:noFill/>
                    </a:ln>
                  </pic:spPr>
                </pic:pic>
              </a:graphicData>
            </a:graphic>
          </wp:anchor>
        </w:drawing>
      </w:r>
    </w:p>
    <w:p w14:paraId="25F42A96">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rPr>
      </w:pPr>
    </w:p>
    <w:p w14:paraId="6FAB8748">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rPr>
      </w:pPr>
    </w:p>
    <w:p w14:paraId="57223FD5">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rPr>
      </w:pPr>
    </w:p>
    <w:p w14:paraId="3DEF5262">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rPr>
      </w:pPr>
    </w:p>
    <w:p w14:paraId="2C44B2FE">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rPr>
      </w:pPr>
    </w:p>
    <w:p w14:paraId="4822A631">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rPr>
      </w:pPr>
    </w:p>
    <w:p w14:paraId="1CC13F4B">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rPr>
      </w:pPr>
    </w:p>
    <w:p w14:paraId="3F4EC04C">
      <w:pPr>
        <w:pStyle w:val="29"/>
        <w:pageBreakBefore w:val="0"/>
        <w:kinsoku/>
        <w:wordWrap/>
        <w:overflowPunct/>
        <w:topLinePunct w:val="0"/>
        <w:bidi w:val="0"/>
        <w:spacing w:line="600" w:lineRule="exact"/>
        <w:ind w:left="0" w:leftChars="0" w:firstLine="1600" w:firstLineChars="500"/>
        <w:textAlignment w:val="auto"/>
        <w:outlineLvl w:val="1"/>
        <w:rPr>
          <w:rFonts w:eastAsia="仿宋_GB2312" w:cs="仿宋_GB2312"/>
          <w:sz w:val="32"/>
          <w:szCs w:val="32"/>
        </w:rPr>
      </w:pPr>
      <w:r>
        <w:rPr>
          <w:rFonts w:hint="eastAsia" w:eastAsia="仿宋_GB2312" w:cs="仿宋_GB2312"/>
          <w:sz w:val="32"/>
          <w:szCs w:val="32"/>
        </w:rPr>
        <w:t>（图3：支出决算结构图）（饼状图）</w:t>
      </w:r>
    </w:p>
    <w:p w14:paraId="1C749657">
      <w:pPr>
        <w:pageBreakBefore w:val="0"/>
        <w:kinsoku/>
        <w:wordWrap/>
        <w:overflowPunct/>
        <w:topLinePunct w:val="0"/>
        <w:bidi w:val="0"/>
        <w:spacing w:line="600" w:lineRule="exact"/>
        <w:ind w:left="0" w:leftChars="0" w:firstLine="640" w:firstLineChars="200"/>
        <w:textAlignment w:val="auto"/>
        <w:outlineLvl w:val="1"/>
        <w:rPr>
          <w:rStyle w:val="31"/>
          <w:rFonts w:ascii="Times New Roman" w:hAnsi="Times New Roman" w:eastAsia="黑体"/>
          <w:b w:val="0"/>
        </w:rPr>
      </w:pPr>
      <w:bookmarkStart w:id="29" w:name="_Toc15396606"/>
      <w:bookmarkStart w:id="30" w:name="_Toc15377208"/>
      <w:r>
        <w:rPr>
          <w:rFonts w:hint="eastAsia" w:eastAsia="黑体"/>
          <w:sz w:val="32"/>
          <w:szCs w:val="32"/>
        </w:rPr>
        <w:t>四、财</w:t>
      </w:r>
      <w:r>
        <w:rPr>
          <w:rStyle w:val="31"/>
          <w:rFonts w:hint="eastAsia" w:ascii="Times New Roman" w:hAnsi="Times New Roman" w:eastAsia="黑体"/>
          <w:b w:val="0"/>
        </w:rPr>
        <w:t>政拨款收入支出决算总体情况说明</w:t>
      </w:r>
      <w:bookmarkEnd w:id="29"/>
      <w:bookmarkEnd w:id="30"/>
    </w:p>
    <w:p w14:paraId="278F1C24">
      <w:pPr>
        <w:pStyle w:val="29"/>
        <w:pageBreakBefore w:val="0"/>
        <w:kinsoku/>
        <w:wordWrap/>
        <w:overflowPunct/>
        <w:topLinePunct w:val="0"/>
        <w:bidi w:val="0"/>
        <w:spacing w:line="600" w:lineRule="exact"/>
        <w:ind w:left="0" w:leftChars="0" w:firstLine="640"/>
        <w:textAlignment w:val="auto"/>
        <w:outlineLvl w:val="1"/>
        <w:rPr>
          <w:rFonts w:hint="eastAsia"/>
          <w:lang w:val="en-US" w:eastAsia="zh-CN"/>
        </w:rPr>
      </w:pPr>
      <w:r>
        <w:rPr>
          <w:rFonts w:hint="eastAsia" w:eastAsia="仿宋_GB2312" w:cs="仿宋_GB2312"/>
          <w:sz w:val="32"/>
          <w:szCs w:val="32"/>
        </w:rPr>
        <w:t>2025年度财政拨款收入、支出总计均为1696.59万元。与上年度相比，财政拨款收入、支出总计各减少</w:t>
      </w:r>
      <w:r>
        <w:rPr>
          <w:rFonts w:hint="eastAsia" w:eastAsia="仿宋_GB2312" w:cs="仿宋_GB2312"/>
          <w:sz w:val="32"/>
          <w:szCs w:val="32"/>
          <w:lang w:val="en-US" w:eastAsia="zh-CN"/>
        </w:rPr>
        <w:t>563.68</w:t>
      </w:r>
      <w:r>
        <w:rPr>
          <w:rFonts w:hint="eastAsia" w:eastAsia="仿宋_GB2312" w:cs="仿宋_GB2312"/>
          <w:sz w:val="32"/>
          <w:szCs w:val="32"/>
        </w:rPr>
        <w:t>万元，下降</w:t>
      </w:r>
      <w:r>
        <w:rPr>
          <w:rFonts w:hint="eastAsia" w:eastAsia="仿宋_GB2312" w:cs="仿宋_GB2312"/>
          <w:sz w:val="32"/>
          <w:szCs w:val="32"/>
          <w:lang w:val="en-US" w:eastAsia="zh-CN"/>
        </w:rPr>
        <w:t>24.94</w:t>
      </w:r>
      <w:r>
        <w:rPr>
          <w:rFonts w:hint="eastAsia" w:eastAsia="仿宋_GB2312" w:cs="仿宋_GB2312"/>
          <w:sz w:val="32"/>
          <w:szCs w:val="32"/>
        </w:rPr>
        <w:t>%。主要变动原因是</w:t>
      </w:r>
      <w:r>
        <w:rPr>
          <w:rFonts w:hint="eastAsia" w:eastAsia="仿宋_GB2312" w:cs="仿宋_GB2312"/>
          <w:sz w:val="32"/>
          <w:szCs w:val="32"/>
          <w:lang w:val="en-US" w:eastAsia="zh-CN"/>
        </w:rPr>
        <w:t>2024年有清偿债务项目，2025年未有此类项目。</w:t>
      </w:r>
    </w:p>
    <w:p w14:paraId="0394FCF6">
      <w:pPr>
        <w:pStyle w:val="2"/>
        <w:pageBreakBefore w:val="0"/>
        <w:kinsoku/>
        <w:wordWrap/>
        <w:overflowPunct/>
        <w:topLinePunct w:val="0"/>
        <w:bidi w:val="0"/>
        <w:spacing w:beforeLines="0"/>
        <w:ind w:left="0" w:leftChars="0"/>
        <w:textAlignment w:val="auto"/>
        <w:rPr>
          <w:rFonts w:hint="eastAsia"/>
          <w:lang w:val="en-US" w:eastAsia="zh-CN"/>
        </w:rPr>
      </w:pPr>
      <w:r>
        <w:rPr>
          <w:rFonts w:hint="eastAsia"/>
          <w:lang w:val="en-US" w:eastAsia="zh-CN"/>
        </w:rPr>
        <w:t xml:space="preserve">                </w:t>
      </w:r>
      <w:r>
        <w:drawing>
          <wp:inline distT="0" distB="0" distL="114300" distR="114300">
            <wp:extent cx="2340610" cy="1980565"/>
            <wp:effectExtent l="0" t="0" r="6350" b="63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2"/>
                    <a:stretch>
                      <a:fillRect/>
                    </a:stretch>
                  </pic:blipFill>
                  <pic:spPr>
                    <a:xfrm>
                      <a:off x="0" y="0"/>
                      <a:ext cx="2340610" cy="1980565"/>
                    </a:xfrm>
                    <a:prstGeom prst="rect">
                      <a:avLst/>
                    </a:prstGeom>
                    <a:noFill/>
                    <a:ln>
                      <a:noFill/>
                    </a:ln>
                  </pic:spPr>
                </pic:pic>
              </a:graphicData>
            </a:graphic>
          </wp:inline>
        </w:drawing>
      </w:r>
    </w:p>
    <w:p w14:paraId="19EDDEEE">
      <w:pPr>
        <w:pageBreakBefore w:val="0"/>
        <w:kinsoku/>
        <w:wordWrap/>
        <w:overflowPunct/>
        <w:topLinePunct w:val="0"/>
        <w:bidi w:val="0"/>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（图4：财政拨款收、支决算总计变动情况）（柱状图）</w:t>
      </w:r>
    </w:p>
    <w:p w14:paraId="555DA268">
      <w:pPr>
        <w:pageBreakBefore w:val="0"/>
        <w:kinsoku/>
        <w:wordWrap/>
        <w:overflowPunct/>
        <w:topLinePunct w:val="0"/>
        <w:bidi w:val="0"/>
        <w:spacing w:line="600" w:lineRule="exact"/>
        <w:ind w:left="0" w:leftChars="0" w:firstLine="640" w:firstLineChars="200"/>
        <w:textAlignment w:val="auto"/>
        <w:outlineLvl w:val="1"/>
        <w:rPr>
          <w:rStyle w:val="31"/>
          <w:rFonts w:ascii="Times New Roman" w:hAnsi="Times New Roman" w:eastAsia="黑体"/>
          <w:b w:val="0"/>
        </w:rPr>
      </w:pPr>
      <w:bookmarkStart w:id="31" w:name="_Toc15396607"/>
      <w:bookmarkStart w:id="32" w:name="_Toc15377209"/>
      <w:r>
        <w:rPr>
          <w:rFonts w:hint="eastAsia" w:eastAsia="黑体"/>
          <w:sz w:val="32"/>
          <w:szCs w:val="32"/>
        </w:rPr>
        <w:t>五、</w:t>
      </w:r>
      <w:r>
        <w:rPr>
          <w:rFonts w:hint="eastAsia" w:eastAsia="黑体"/>
          <w:b/>
          <w:sz w:val="32"/>
          <w:szCs w:val="32"/>
        </w:rPr>
        <w:t>一</w:t>
      </w:r>
      <w:r>
        <w:rPr>
          <w:rStyle w:val="31"/>
          <w:rFonts w:hint="eastAsia" w:ascii="Times New Roman" w:hAnsi="Times New Roman" w:eastAsia="黑体"/>
          <w:b w:val="0"/>
        </w:rPr>
        <w:t>般公共预算财政拨款支出决算情况说明</w:t>
      </w:r>
      <w:bookmarkEnd w:id="31"/>
      <w:bookmarkEnd w:id="32"/>
    </w:p>
    <w:p w14:paraId="79DB63B6">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33" w:name="_Toc15377210"/>
      <w:r>
        <w:rPr>
          <w:rFonts w:hint="eastAsia" w:eastAsia="楷体_GB2312" w:cs="楷体_GB2312"/>
          <w:b/>
          <w:sz w:val="32"/>
          <w:szCs w:val="32"/>
        </w:rPr>
        <w:t>（一）一般公共预算财政拨款支出决算总体情况</w:t>
      </w:r>
      <w:bookmarkEnd w:id="33"/>
    </w:p>
    <w:p w14:paraId="4F8410B1">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r>
        <w:rPr>
          <w:rFonts w:hint="eastAsia" w:eastAsia="仿宋_GB2312" w:cs="仿宋_GB2312"/>
          <w:sz w:val="32"/>
          <w:szCs w:val="32"/>
        </w:rPr>
        <w:t>2025年度一般公共预算财政拨款支出1696.59万元，占本年支出合计的</w:t>
      </w:r>
      <w:r>
        <w:rPr>
          <w:rFonts w:hint="eastAsia" w:eastAsia="仿宋_GB2312" w:cs="仿宋_GB2312"/>
          <w:sz w:val="32"/>
          <w:szCs w:val="32"/>
          <w:lang w:val="en-US" w:eastAsia="zh-CN"/>
        </w:rPr>
        <w:t>100</w:t>
      </w:r>
      <w:r>
        <w:rPr>
          <w:rFonts w:hint="eastAsia" w:eastAsia="仿宋_GB2312" w:cs="仿宋_GB2312"/>
          <w:sz w:val="32"/>
          <w:szCs w:val="32"/>
        </w:rPr>
        <w:t>%。与上年度相比，一般公共预算财政拨款支出减少</w:t>
      </w:r>
      <w:r>
        <w:rPr>
          <w:rFonts w:hint="eastAsia" w:eastAsia="仿宋_GB2312" w:cs="仿宋_GB2312"/>
          <w:sz w:val="32"/>
          <w:szCs w:val="32"/>
          <w:lang w:val="en-US" w:eastAsia="zh-CN"/>
        </w:rPr>
        <w:t>563.68</w:t>
      </w:r>
      <w:r>
        <w:rPr>
          <w:rFonts w:hint="eastAsia" w:eastAsia="仿宋_GB2312" w:cs="仿宋_GB2312"/>
          <w:sz w:val="32"/>
          <w:szCs w:val="32"/>
        </w:rPr>
        <w:t>万元，下降</w:t>
      </w:r>
      <w:r>
        <w:rPr>
          <w:rFonts w:hint="eastAsia" w:eastAsia="仿宋_GB2312" w:cs="仿宋_GB2312"/>
          <w:sz w:val="32"/>
          <w:szCs w:val="32"/>
          <w:lang w:val="en-US" w:eastAsia="zh-CN"/>
        </w:rPr>
        <w:t>24.94</w:t>
      </w:r>
      <w:r>
        <w:rPr>
          <w:rFonts w:hint="eastAsia" w:eastAsia="仿宋_GB2312" w:cs="仿宋_GB2312"/>
          <w:sz w:val="32"/>
          <w:szCs w:val="32"/>
        </w:rPr>
        <w:t>%。主要变动原因是</w:t>
      </w:r>
      <w:r>
        <w:rPr>
          <w:rFonts w:hint="eastAsia" w:eastAsia="仿宋_GB2312" w:cs="仿宋_GB2312"/>
          <w:sz w:val="32"/>
          <w:szCs w:val="32"/>
          <w:lang w:val="en-US" w:eastAsia="zh-CN"/>
        </w:rPr>
        <w:t>2024年有清偿债务项目，2025年未有此类项目。</w:t>
      </w:r>
    </w:p>
    <w:p w14:paraId="30F44C83">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r>
        <w:drawing>
          <wp:anchor distT="0" distB="0" distL="114300" distR="114300" simplePos="0" relativeHeight="251662336" behindDoc="0" locked="0" layoutInCell="1" allowOverlap="1">
            <wp:simplePos x="0" y="0"/>
            <wp:positionH relativeFrom="column">
              <wp:posOffset>1612900</wp:posOffset>
            </wp:positionH>
            <wp:positionV relativeFrom="paragraph">
              <wp:posOffset>59690</wp:posOffset>
            </wp:positionV>
            <wp:extent cx="2379980" cy="1841500"/>
            <wp:effectExtent l="0" t="0" r="12700" b="2540"/>
            <wp:wrapNone/>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3"/>
                    <a:stretch>
                      <a:fillRect/>
                    </a:stretch>
                  </pic:blipFill>
                  <pic:spPr>
                    <a:xfrm>
                      <a:off x="0" y="0"/>
                      <a:ext cx="2379980" cy="1841500"/>
                    </a:xfrm>
                    <a:prstGeom prst="rect">
                      <a:avLst/>
                    </a:prstGeom>
                    <a:noFill/>
                    <a:ln>
                      <a:noFill/>
                    </a:ln>
                  </pic:spPr>
                </pic:pic>
              </a:graphicData>
            </a:graphic>
          </wp:anchor>
        </w:drawing>
      </w:r>
    </w:p>
    <w:p w14:paraId="46EC7DDB">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1A96E898">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0AB7CD11">
      <w:pPr>
        <w:pStyle w:val="29"/>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3F153D82">
      <w:pPr>
        <w:pageBreakBefore w:val="0"/>
        <w:kinsoku/>
        <w:wordWrap/>
        <w:overflowPunct/>
        <w:topLinePunct w:val="0"/>
        <w:bidi w:val="0"/>
        <w:spacing w:line="600" w:lineRule="exact"/>
        <w:ind w:left="0" w:leftChars="0"/>
        <w:textAlignment w:val="auto"/>
        <w:rPr>
          <w:rFonts w:hint="eastAsia" w:eastAsia="仿宋_GB2312" w:cs="仿宋_GB2312"/>
          <w:sz w:val="32"/>
          <w:szCs w:val="32"/>
        </w:rPr>
      </w:pPr>
    </w:p>
    <w:p w14:paraId="4ED0D9D9">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（图5：一般公共预算财政拨款支出决算变动情况）</w:t>
      </w:r>
    </w:p>
    <w:p w14:paraId="2F57D1A9">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34" w:name="_Toc15377211"/>
      <w:r>
        <w:rPr>
          <w:rFonts w:hint="eastAsia" w:eastAsia="楷体_GB2312" w:cs="楷体_GB2312"/>
          <w:b/>
          <w:sz w:val="32"/>
          <w:szCs w:val="32"/>
        </w:rPr>
        <w:t>（二）一般公共预算财政拨款支出决算结构情况</w:t>
      </w:r>
      <w:bookmarkEnd w:id="34"/>
    </w:p>
    <w:p w14:paraId="1F9AA172">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lang w:eastAsia="zh-CN"/>
        </w:rPr>
      </w:pPr>
      <w:r>
        <w:rPr>
          <w:rFonts w:hint="eastAsia" w:eastAsia="仿宋_GB2312" w:cs="仿宋_GB2312"/>
          <w:sz w:val="32"/>
          <w:szCs w:val="32"/>
        </w:rPr>
        <w:t>2025年度一般公共预算财政拨款支出1696.59万元，主要用于以下方面：一般公共服务支出1457.55万元，占</w:t>
      </w:r>
      <w:r>
        <w:rPr>
          <w:rFonts w:hint="eastAsia" w:eastAsia="仿宋_GB2312" w:cs="仿宋_GB2312"/>
          <w:sz w:val="32"/>
          <w:szCs w:val="32"/>
          <w:lang w:val="en-US" w:eastAsia="zh-CN"/>
        </w:rPr>
        <w:t>85.91</w:t>
      </w:r>
      <w:r>
        <w:rPr>
          <w:rFonts w:hint="eastAsia" w:eastAsia="仿宋_GB2312" w:cs="仿宋_GB2312"/>
          <w:sz w:val="32"/>
          <w:szCs w:val="32"/>
        </w:rPr>
        <w:t>%；社会保障和就业支出111.55万元，占</w:t>
      </w:r>
      <w:r>
        <w:rPr>
          <w:rFonts w:hint="eastAsia" w:eastAsia="仿宋_GB2312" w:cs="仿宋_GB2312"/>
          <w:sz w:val="32"/>
          <w:szCs w:val="32"/>
          <w:lang w:val="en-US" w:eastAsia="zh-CN"/>
        </w:rPr>
        <w:t>6.57</w:t>
      </w:r>
      <w:r>
        <w:rPr>
          <w:rFonts w:hint="eastAsia" w:eastAsia="仿宋_GB2312" w:cs="仿宋_GB2312"/>
          <w:sz w:val="32"/>
          <w:szCs w:val="32"/>
        </w:rPr>
        <w:t>%；卫生健康支出53.25万元，占</w:t>
      </w:r>
      <w:r>
        <w:rPr>
          <w:rFonts w:hint="eastAsia" w:eastAsia="仿宋_GB2312" w:cs="仿宋_GB2312"/>
          <w:sz w:val="32"/>
          <w:szCs w:val="32"/>
          <w:lang w:val="en-US" w:eastAsia="zh-CN"/>
        </w:rPr>
        <w:t>3.14</w:t>
      </w:r>
      <w:r>
        <w:rPr>
          <w:rFonts w:hint="eastAsia" w:eastAsia="仿宋_GB2312" w:cs="仿宋_GB2312"/>
          <w:sz w:val="32"/>
          <w:szCs w:val="32"/>
        </w:rPr>
        <w:t>%；城乡社区支出10万元，占</w:t>
      </w:r>
      <w:r>
        <w:rPr>
          <w:rFonts w:hint="eastAsia" w:eastAsia="仿宋_GB2312" w:cs="仿宋_GB2312"/>
          <w:sz w:val="32"/>
          <w:szCs w:val="32"/>
          <w:lang w:val="en-US" w:eastAsia="zh-CN"/>
        </w:rPr>
        <w:t>0.59</w:t>
      </w:r>
      <w:r>
        <w:rPr>
          <w:rFonts w:hint="eastAsia" w:eastAsia="仿宋_GB2312" w:cs="仿宋_GB2312"/>
          <w:sz w:val="32"/>
          <w:szCs w:val="32"/>
        </w:rPr>
        <w:t>%；住房保障支出64.24万元，占</w:t>
      </w:r>
      <w:r>
        <w:rPr>
          <w:rFonts w:hint="eastAsia" w:eastAsia="仿宋_GB2312" w:cs="仿宋_GB2312"/>
          <w:sz w:val="32"/>
          <w:szCs w:val="32"/>
          <w:lang w:val="en-US" w:eastAsia="zh-CN"/>
        </w:rPr>
        <w:t>3.79</w:t>
      </w:r>
      <w:r>
        <w:rPr>
          <w:rFonts w:hint="eastAsia" w:eastAsia="仿宋_GB2312" w:cs="仿宋_GB2312"/>
          <w:sz w:val="32"/>
          <w:szCs w:val="32"/>
        </w:rPr>
        <w:t>%</w:t>
      </w:r>
      <w:r>
        <w:rPr>
          <w:rFonts w:hint="eastAsia" w:eastAsia="仿宋_GB2312" w:cs="仿宋_GB2312"/>
          <w:sz w:val="32"/>
          <w:szCs w:val="32"/>
          <w:lang w:eastAsia="zh-CN"/>
        </w:rPr>
        <w:t>。</w:t>
      </w:r>
    </w:p>
    <w:p w14:paraId="5F535D78">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lang w:eastAsia="zh-CN"/>
        </w:rPr>
      </w:pPr>
      <w:r>
        <w:drawing>
          <wp:anchor distT="0" distB="0" distL="114300" distR="114300" simplePos="0" relativeHeight="251663360" behindDoc="0" locked="0" layoutInCell="1" allowOverlap="1">
            <wp:simplePos x="0" y="0"/>
            <wp:positionH relativeFrom="column">
              <wp:posOffset>855345</wp:posOffset>
            </wp:positionH>
            <wp:positionV relativeFrom="paragraph">
              <wp:posOffset>142875</wp:posOffset>
            </wp:positionV>
            <wp:extent cx="3520440" cy="2066925"/>
            <wp:effectExtent l="0" t="0" r="0" b="5715"/>
            <wp:wrapNone/>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4"/>
                    <a:stretch>
                      <a:fillRect/>
                    </a:stretch>
                  </pic:blipFill>
                  <pic:spPr>
                    <a:xfrm>
                      <a:off x="0" y="0"/>
                      <a:ext cx="3520440" cy="2066925"/>
                    </a:xfrm>
                    <a:prstGeom prst="rect">
                      <a:avLst/>
                    </a:prstGeom>
                    <a:noFill/>
                    <a:ln>
                      <a:noFill/>
                    </a:ln>
                  </pic:spPr>
                </pic:pic>
              </a:graphicData>
            </a:graphic>
          </wp:anchor>
        </w:drawing>
      </w:r>
    </w:p>
    <w:p w14:paraId="6813DC0E">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lang w:eastAsia="zh-CN"/>
        </w:rPr>
      </w:pPr>
    </w:p>
    <w:p w14:paraId="3BCEAF4D">
      <w:pPr>
        <w:pageBreakBefore w:val="0"/>
        <w:kinsoku/>
        <w:wordWrap/>
        <w:overflowPunct/>
        <w:topLinePunct w:val="0"/>
        <w:bidi w:val="0"/>
        <w:spacing w:line="600" w:lineRule="exact"/>
        <w:ind w:left="0" w:leftChars="0" w:firstLine="640"/>
        <w:textAlignment w:val="auto"/>
        <w:rPr>
          <w:rFonts w:hint="default" w:eastAsia="仿宋_GB2312" w:cs="仿宋_GB2312"/>
          <w:sz w:val="32"/>
          <w:szCs w:val="32"/>
          <w:lang w:val="en-US" w:eastAsia="zh-CN"/>
        </w:rPr>
      </w:pPr>
      <w:r>
        <w:rPr>
          <w:rFonts w:hint="eastAsia" w:eastAsia="仿宋_GB2312" w:cs="仿宋_GB2312"/>
          <w:sz w:val="32"/>
          <w:szCs w:val="32"/>
          <w:lang w:val="en-US" w:eastAsia="zh-CN"/>
        </w:rPr>
        <w:t xml:space="preserve">  </w:t>
      </w:r>
    </w:p>
    <w:p w14:paraId="02562379">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lang w:eastAsia="zh-CN"/>
        </w:rPr>
      </w:pPr>
    </w:p>
    <w:p w14:paraId="787DE9B3">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lang w:eastAsia="zh-CN"/>
        </w:rPr>
      </w:pPr>
    </w:p>
    <w:p w14:paraId="590AD57E">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lang w:eastAsia="zh-CN"/>
        </w:rPr>
      </w:pPr>
    </w:p>
    <w:p w14:paraId="6DFE4A8A">
      <w:pPr>
        <w:pageBreakBefore w:val="0"/>
        <w:kinsoku/>
        <w:wordWrap/>
        <w:overflowPunct/>
        <w:topLinePunct w:val="0"/>
        <w:bidi w:val="0"/>
        <w:spacing w:line="600" w:lineRule="exact"/>
        <w:ind w:left="0" w:leftChars="0"/>
        <w:textAlignment w:val="auto"/>
        <w:rPr>
          <w:rFonts w:eastAsia="仿宋_GB2312" w:cs="仿宋_GB2312"/>
          <w:sz w:val="32"/>
          <w:szCs w:val="32"/>
        </w:rPr>
      </w:pPr>
      <w:r>
        <w:rPr>
          <w:rFonts w:hint="eastAsia" w:eastAsia="仿宋_GB2312" w:cs="仿宋_GB2312"/>
          <w:sz w:val="32"/>
          <w:szCs w:val="32"/>
        </w:rPr>
        <w:t>（图6：一般公共预算财政拨款支出决算结构）（饼状图）</w:t>
      </w:r>
    </w:p>
    <w:p w14:paraId="15818E3E">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35" w:name="_Toc15377212"/>
      <w:r>
        <w:rPr>
          <w:rFonts w:hint="eastAsia" w:eastAsia="楷体_GB2312" w:cs="楷体_GB2312"/>
          <w:b/>
          <w:sz w:val="32"/>
          <w:szCs w:val="32"/>
        </w:rPr>
        <w:t>（三）一般公共预算财政拨款支出决算具体情况</w:t>
      </w:r>
      <w:bookmarkEnd w:id="35"/>
    </w:p>
    <w:p w14:paraId="5989CDF6">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rPr>
      </w:pPr>
      <w:bookmarkStart w:id="36" w:name="_Toc15377444"/>
      <w:bookmarkStart w:id="37" w:name="_Toc15377213"/>
      <w:bookmarkStart w:id="38" w:name="_Toc15378460"/>
      <w:r>
        <w:rPr>
          <w:rFonts w:hint="eastAsia" w:eastAsia="仿宋_GB2312" w:cs="仿宋_GB2312"/>
          <w:sz w:val="32"/>
          <w:szCs w:val="32"/>
        </w:rPr>
        <w:t>2025年度一般公共预算支出决算数为1696.59，完成预算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6"/>
      <w:bookmarkEnd w:id="37"/>
      <w:bookmarkEnd w:id="38"/>
    </w:p>
    <w:p w14:paraId="303BFE87">
      <w:pPr>
        <w:pStyle w:val="2"/>
        <w:pageBreakBefore w:val="0"/>
        <w:kinsoku/>
        <w:wordWrap/>
        <w:overflowPunct/>
        <w:topLinePunct w:val="0"/>
        <w:bidi w:val="0"/>
        <w:spacing w:beforeLines="0"/>
        <w:ind w:left="0" w:leftChars="0" w:firstLine="640" w:firstLineChars="200"/>
        <w:textAlignment w:val="auto"/>
      </w:pPr>
      <w:r>
        <w:rPr>
          <w:rFonts w:hint="default" w:ascii="仿宋" w:hAnsi="仿宋" w:eastAsia="仿宋" w:cs="Times New Roman"/>
          <w:b w:val="0"/>
          <w:bCs/>
          <w:color w:val="auto"/>
          <w:kern w:val="2"/>
          <w:sz w:val="32"/>
          <w:szCs w:val="32"/>
          <w:lang w:val="en-US" w:eastAsia="zh-CN" w:bidi="ar-SA"/>
        </w:rPr>
        <w:t>1.</w:t>
      </w:r>
      <w:r>
        <w:rPr>
          <w:rStyle w:val="19"/>
          <w:rFonts w:hint="eastAsia" w:ascii="仿宋" w:hAnsi="仿宋" w:eastAsia="仿宋"/>
          <w:bCs/>
          <w:color w:val="000000"/>
          <w:sz w:val="32"/>
          <w:szCs w:val="32"/>
        </w:rPr>
        <w:t>一般公共服务201（类）</w:t>
      </w:r>
      <w:r>
        <w:rPr>
          <w:rStyle w:val="19"/>
          <w:rFonts w:hint="eastAsia" w:ascii="仿宋" w:hAnsi="仿宋" w:eastAsia="仿宋"/>
          <w:bCs/>
          <w:color w:val="000000"/>
          <w:sz w:val="32"/>
          <w:szCs w:val="32"/>
          <w:lang w:val="en-US" w:eastAsia="zh-CN"/>
        </w:rPr>
        <w:t>01</w:t>
      </w:r>
      <w:r>
        <w:rPr>
          <w:rStyle w:val="19"/>
          <w:rFonts w:hint="eastAsia" w:ascii="仿宋" w:hAnsi="仿宋" w:eastAsia="仿宋"/>
          <w:bCs/>
          <w:color w:val="000000"/>
          <w:sz w:val="32"/>
          <w:szCs w:val="32"/>
        </w:rPr>
        <w:t>（款）</w:t>
      </w:r>
      <w:r>
        <w:rPr>
          <w:rStyle w:val="19"/>
          <w:rFonts w:hint="eastAsia" w:ascii="仿宋" w:hAnsi="仿宋" w:eastAsia="仿宋"/>
          <w:bCs/>
          <w:color w:val="000000"/>
          <w:sz w:val="32"/>
          <w:szCs w:val="32"/>
          <w:lang w:val="en-US" w:eastAsia="zh-CN"/>
        </w:rPr>
        <w:t>50</w:t>
      </w:r>
      <w:r>
        <w:rPr>
          <w:rStyle w:val="19"/>
          <w:rFonts w:hint="eastAsia" w:ascii="仿宋" w:hAnsi="仿宋" w:eastAsia="仿宋"/>
          <w:bCs/>
          <w:color w:val="000000"/>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Fonts w:hint="eastAsia" w:ascii="仿宋" w:hAnsi="仿宋" w:eastAsia="仿宋"/>
          <w:sz w:val="32"/>
          <w:szCs w:val="32"/>
        </w:rPr>
        <w:t>9.69</w:t>
      </w:r>
      <w:r>
        <w:rPr>
          <w:rStyle w:val="19"/>
          <w:rFonts w:hint="eastAsia" w:ascii="仿宋" w:hAnsi="仿宋" w:eastAsia="仿宋"/>
          <w:b w:val="0"/>
          <w:bCs/>
          <w:sz w:val="32"/>
          <w:szCs w:val="32"/>
        </w:rPr>
        <w:t>万元，完成预算 100</w:t>
      </w:r>
      <w:r>
        <w:rPr>
          <w:rFonts w:ascii="仿宋" w:hAnsi="仿宋" w:eastAsia="仿宋"/>
          <w:sz w:val="32"/>
          <w:szCs w:val="32"/>
        </w:rPr>
        <w:t>%</w:t>
      </w:r>
      <w:r>
        <w:rPr>
          <w:rStyle w:val="19"/>
          <w:rFonts w:hint="eastAsia" w:ascii="仿宋" w:hAnsi="仿宋" w:eastAsia="仿宋"/>
          <w:b w:val="0"/>
          <w:bCs/>
          <w:sz w:val="32"/>
          <w:szCs w:val="32"/>
        </w:rPr>
        <w:t>。</w:t>
      </w:r>
    </w:p>
    <w:p w14:paraId="19CC0EE3">
      <w:pPr>
        <w:pageBreakBefore w:val="0"/>
        <w:numPr>
          <w:ilvl w:val="0"/>
          <w:numId w:val="0"/>
        </w:numPr>
        <w:kinsoku/>
        <w:wordWrap/>
        <w:overflowPunct/>
        <w:topLinePunct w:val="0"/>
        <w:bidi w:val="0"/>
        <w:spacing w:line="600" w:lineRule="exact"/>
        <w:ind w:left="0" w:leftChars="0" w:firstLine="640" w:firstLineChars="200"/>
        <w:textAlignment w:val="auto"/>
        <w:rPr>
          <w:rStyle w:val="19"/>
          <w:rFonts w:ascii="仿宋" w:hAnsi="仿宋" w:eastAsia="仿宋"/>
          <w:b w:val="0"/>
          <w:bCs/>
          <w:sz w:val="32"/>
          <w:szCs w:val="32"/>
        </w:rPr>
      </w:pPr>
      <w:r>
        <w:rPr>
          <w:rFonts w:hint="eastAsia" w:ascii="仿宋" w:hAnsi="仿宋" w:eastAsia="仿宋" w:cs="Times New Roman"/>
          <w:b w:val="0"/>
          <w:bCs/>
          <w:color w:val="auto"/>
          <w:kern w:val="2"/>
          <w:sz w:val="32"/>
          <w:szCs w:val="32"/>
          <w:lang w:val="en-US" w:eastAsia="zh-CN" w:bidi="ar-SA"/>
        </w:rPr>
        <w:t>2</w:t>
      </w:r>
      <w:r>
        <w:rPr>
          <w:rFonts w:hint="default" w:ascii="仿宋" w:hAnsi="仿宋" w:eastAsia="仿宋" w:cs="Times New Roman"/>
          <w:b w:val="0"/>
          <w:bCs/>
          <w:color w:val="auto"/>
          <w:kern w:val="2"/>
          <w:sz w:val="32"/>
          <w:szCs w:val="32"/>
          <w:lang w:val="en-US" w:eastAsia="zh-CN" w:bidi="ar-SA"/>
        </w:rPr>
        <w:t>.</w:t>
      </w:r>
      <w:r>
        <w:rPr>
          <w:rStyle w:val="19"/>
          <w:rFonts w:hint="eastAsia" w:ascii="仿宋" w:hAnsi="仿宋" w:eastAsia="仿宋"/>
          <w:bCs/>
          <w:color w:val="000000"/>
          <w:sz w:val="32"/>
          <w:szCs w:val="32"/>
        </w:rPr>
        <w:t>一般公共服务201（类）03（款）01（项）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Fonts w:hint="eastAsia" w:ascii="仿宋" w:hAnsi="仿宋" w:eastAsia="仿宋"/>
          <w:sz w:val="32"/>
          <w:szCs w:val="32"/>
        </w:rPr>
        <w:t>474.76</w:t>
      </w:r>
      <w:r>
        <w:rPr>
          <w:rStyle w:val="19"/>
          <w:rFonts w:hint="eastAsia" w:ascii="仿宋" w:hAnsi="仿宋" w:eastAsia="仿宋"/>
          <w:b w:val="0"/>
          <w:bCs/>
          <w:sz w:val="32"/>
          <w:szCs w:val="32"/>
        </w:rPr>
        <w:t>万元，完成预算 100</w:t>
      </w:r>
      <w:r>
        <w:rPr>
          <w:rFonts w:ascii="仿宋" w:hAnsi="仿宋" w:eastAsia="仿宋"/>
          <w:sz w:val="32"/>
          <w:szCs w:val="32"/>
        </w:rPr>
        <w:t>%</w:t>
      </w:r>
      <w:r>
        <w:rPr>
          <w:rStyle w:val="19"/>
          <w:rFonts w:hint="eastAsia" w:ascii="仿宋" w:hAnsi="仿宋" w:eastAsia="仿宋"/>
          <w:b w:val="0"/>
          <w:bCs/>
          <w:sz w:val="32"/>
          <w:szCs w:val="32"/>
        </w:rPr>
        <w:t>。</w:t>
      </w:r>
    </w:p>
    <w:p w14:paraId="382891FA">
      <w:pPr>
        <w:pageBreakBefore w:val="0"/>
        <w:numPr>
          <w:ilvl w:val="0"/>
          <w:numId w:val="0"/>
        </w:numPr>
        <w:kinsoku/>
        <w:wordWrap/>
        <w:overflowPunct/>
        <w:topLinePunct w:val="0"/>
        <w:bidi w:val="0"/>
        <w:spacing w:line="600" w:lineRule="exact"/>
        <w:ind w:left="0" w:leftChars="0" w:firstLine="640" w:firstLineChars="200"/>
        <w:textAlignment w:val="auto"/>
        <w:rPr>
          <w:rStyle w:val="19"/>
          <w:rFonts w:ascii="仿宋" w:hAnsi="仿宋" w:eastAsia="仿宋"/>
          <w:b w:val="0"/>
          <w:bCs/>
          <w:sz w:val="32"/>
          <w:szCs w:val="32"/>
        </w:rPr>
      </w:pPr>
      <w:r>
        <w:rPr>
          <w:rFonts w:hint="eastAsia" w:ascii="仿宋" w:hAnsi="仿宋" w:eastAsia="仿宋" w:cs="Times New Roman"/>
          <w:b w:val="0"/>
          <w:bCs/>
          <w:color w:val="auto"/>
          <w:kern w:val="2"/>
          <w:sz w:val="32"/>
          <w:szCs w:val="32"/>
          <w:lang w:val="en-US" w:eastAsia="zh-CN" w:bidi="ar-SA"/>
        </w:rPr>
        <w:t>3</w:t>
      </w:r>
      <w:r>
        <w:rPr>
          <w:rFonts w:hint="default" w:ascii="仿宋" w:hAnsi="仿宋" w:eastAsia="仿宋" w:cs="Times New Roman"/>
          <w:b w:val="0"/>
          <w:bCs/>
          <w:color w:val="auto"/>
          <w:kern w:val="2"/>
          <w:sz w:val="32"/>
          <w:szCs w:val="32"/>
          <w:lang w:val="en-US" w:eastAsia="zh-CN" w:bidi="ar-SA"/>
        </w:rPr>
        <w:t>.</w:t>
      </w:r>
      <w:r>
        <w:rPr>
          <w:rStyle w:val="19"/>
          <w:rFonts w:hint="eastAsia" w:ascii="仿宋" w:hAnsi="仿宋" w:eastAsia="仿宋"/>
          <w:bCs/>
          <w:color w:val="000000"/>
          <w:sz w:val="32"/>
          <w:szCs w:val="32"/>
        </w:rPr>
        <w:t>一般公共服务201（类）03（款）02（项）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Fonts w:hint="eastAsia" w:ascii="仿宋" w:hAnsi="仿宋" w:eastAsia="仿宋"/>
          <w:sz w:val="32"/>
          <w:szCs w:val="32"/>
        </w:rPr>
        <w:t>565.01</w:t>
      </w:r>
      <w:r>
        <w:rPr>
          <w:rStyle w:val="19"/>
          <w:rFonts w:hint="eastAsia" w:ascii="仿宋" w:hAnsi="仿宋" w:eastAsia="仿宋"/>
          <w:b w:val="0"/>
          <w:bCs/>
          <w:sz w:val="32"/>
          <w:szCs w:val="32"/>
        </w:rPr>
        <w:t>万元，完成预算100</w:t>
      </w:r>
      <w:r>
        <w:rPr>
          <w:rFonts w:ascii="仿宋" w:hAnsi="仿宋" w:eastAsia="仿宋"/>
          <w:sz w:val="32"/>
          <w:szCs w:val="32"/>
        </w:rPr>
        <w:t>%</w:t>
      </w:r>
      <w:r>
        <w:rPr>
          <w:rStyle w:val="19"/>
          <w:rFonts w:hint="eastAsia" w:ascii="仿宋" w:hAnsi="仿宋" w:eastAsia="仿宋"/>
          <w:b w:val="0"/>
          <w:bCs/>
          <w:sz w:val="32"/>
          <w:szCs w:val="32"/>
        </w:rPr>
        <w:t>。</w:t>
      </w:r>
    </w:p>
    <w:p w14:paraId="0751B0FA">
      <w:pPr>
        <w:pageBreakBefore w:val="0"/>
        <w:numPr>
          <w:ilvl w:val="0"/>
          <w:numId w:val="0"/>
        </w:numPr>
        <w:kinsoku/>
        <w:wordWrap/>
        <w:overflowPunct/>
        <w:topLinePunct w:val="0"/>
        <w:bidi w:val="0"/>
        <w:spacing w:line="600" w:lineRule="exact"/>
        <w:ind w:left="0" w:leftChars="0" w:firstLine="640" w:firstLineChars="200"/>
        <w:textAlignment w:val="auto"/>
        <w:rPr>
          <w:rStyle w:val="19"/>
          <w:rFonts w:ascii="仿宋" w:hAnsi="仿宋" w:eastAsia="仿宋"/>
          <w:b w:val="0"/>
          <w:bCs/>
          <w:sz w:val="32"/>
          <w:szCs w:val="32"/>
        </w:rPr>
      </w:pPr>
      <w:r>
        <w:rPr>
          <w:rFonts w:hint="eastAsia" w:ascii="仿宋" w:hAnsi="仿宋" w:eastAsia="仿宋" w:cs="Times New Roman"/>
          <w:b w:val="0"/>
          <w:bCs/>
          <w:color w:val="auto"/>
          <w:kern w:val="2"/>
          <w:sz w:val="32"/>
          <w:szCs w:val="32"/>
          <w:lang w:val="en-US" w:eastAsia="zh-CN" w:bidi="ar-SA"/>
        </w:rPr>
        <w:t>4</w:t>
      </w:r>
      <w:r>
        <w:rPr>
          <w:rFonts w:hint="default" w:ascii="仿宋" w:hAnsi="仿宋" w:eastAsia="仿宋" w:cs="Times New Roman"/>
          <w:b w:val="0"/>
          <w:bCs/>
          <w:color w:val="auto"/>
          <w:kern w:val="2"/>
          <w:sz w:val="32"/>
          <w:szCs w:val="32"/>
          <w:lang w:val="en-US" w:eastAsia="zh-CN" w:bidi="ar-SA"/>
        </w:rPr>
        <w:t>.</w:t>
      </w:r>
      <w:r>
        <w:rPr>
          <w:rStyle w:val="19"/>
          <w:rFonts w:hint="eastAsia" w:ascii="仿宋" w:hAnsi="仿宋" w:eastAsia="仿宋"/>
          <w:bCs/>
          <w:color w:val="000000"/>
          <w:sz w:val="32"/>
          <w:szCs w:val="32"/>
        </w:rPr>
        <w:t>一般公共服务201（类）03（款）50（项）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Fonts w:hint="eastAsia" w:ascii="仿宋" w:hAnsi="仿宋" w:eastAsia="仿宋"/>
          <w:sz w:val="32"/>
          <w:szCs w:val="32"/>
        </w:rPr>
        <w:t>398.83</w:t>
      </w:r>
      <w:r>
        <w:rPr>
          <w:rStyle w:val="19"/>
          <w:rFonts w:hint="eastAsia" w:ascii="仿宋" w:hAnsi="仿宋" w:eastAsia="仿宋"/>
          <w:b w:val="0"/>
          <w:bCs/>
          <w:sz w:val="32"/>
          <w:szCs w:val="32"/>
        </w:rPr>
        <w:t>万元，完成预算100</w:t>
      </w:r>
      <w:r>
        <w:rPr>
          <w:rFonts w:ascii="仿宋" w:hAnsi="仿宋" w:eastAsia="仿宋"/>
          <w:sz w:val="32"/>
          <w:szCs w:val="32"/>
        </w:rPr>
        <w:t>%</w:t>
      </w:r>
      <w:r>
        <w:rPr>
          <w:rStyle w:val="19"/>
          <w:rFonts w:hint="eastAsia" w:ascii="仿宋" w:hAnsi="仿宋" w:eastAsia="仿宋"/>
          <w:b w:val="0"/>
          <w:bCs/>
          <w:sz w:val="32"/>
          <w:szCs w:val="32"/>
        </w:rPr>
        <w:t>。</w:t>
      </w:r>
    </w:p>
    <w:p w14:paraId="0E37F4A1">
      <w:pPr>
        <w:pageBreakBefore w:val="0"/>
        <w:numPr>
          <w:ilvl w:val="0"/>
          <w:numId w:val="0"/>
        </w:numPr>
        <w:kinsoku/>
        <w:wordWrap/>
        <w:overflowPunct/>
        <w:topLinePunct w:val="0"/>
        <w:bidi w:val="0"/>
        <w:spacing w:line="600" w:lineRule="exact"/>
        <w:ind w:left="0" w:leftChars="0" w:firstLine="640" w:firstLineChars="200"/>
        <w:textAlignment w:val="auto"/>
        <w:rPr>
          <w:rFonts w:hint="eastAsia" w:eastAsia="仿宋"/>
          <w:lang w:val="en-US" w:eastAsia="zh-CN"/>
        </w:rPr>
      </w:pPr>
      <w:r>
        <w:rPr>
          <w:rStyle w:val="19"/>
          <w:rFonts w:hint="eastAsia" w:ascii="仿宋" w:hAnsi="仿宋" w:eastAsia="仿宋"/>
          <w:b w:val="0"/>
          <w:bCs/>
          <w:sz w:val="32"/>
          <w:szCs w:val="32"/>
          <w:lang w:val="en-US" w:eastAsia="zh-CN"/>
        </w:rPr>
        <w:t>5.</w:t>
      </w:r>
      <w:r>
        <w:rPr>
          <w:rStyle w:val="19"/>
          <w:rFonts w:hint="eastAsia" w:ascii="仿宋" w:hAnsi="仿宋" w:eastAsia="仿宋"/>
          <w:bCs/>
          <w:color w:val="000000"/>
          <w:sz w:val="32"/>
          <w:szCs w:val="32"/>
        </w:rPr>
        <w:t>一般公共服务201（类）</w:t>
      </w:r>
      <w:r>
        <w:rPr>
          <w:rStyle w:val="19"/>
          <w:rFonts w:hint="eastAsia" w:ascii="仿宋" w:hAnsi="仿宋" w:eastAsia="仿宋"/>
          <w:bCs/>
          <w:color w:val="000000"/>
          <w:sz w:val="32"/>
          <w:szCs w:val="32"/>
          <w:lang w:val="en-US" w:eastAsia="zh-CN"/>
        </w:rPr>
        <w:t>32</w:t>
      </w:r>
      <w:r>
        <w:rPr>
          <w:rStyle w:val="19"/>
          <w:rFonts w:hint="eastAsia" w:ascii="仿宋" w:hAnsi="仿宋" w:eastAsia="仿宋"/>
          <w:bCs/>
          <w:color w:val="000000"/>
          <w:sz w:val="32"/>
          <w:szCs w:val="32"/>
        </w:rPr>
        <w:t>（款）</w:t>
      </w:r>
      <w:r>
        <w:rPr>
          <w:rStyle w:val="19"/>
          <w:rFonts w:hint="eastAsia" w:ascii="仿宋" w:hAnsi="仿宋" w:eastAsia="仿宋"/>
          <w:bCs/>
          <w:color w:val="000000"/>
          <w:sz w:val="32"/>
          <w:szCs w:val="32"/>
          <w:lang w:val="en-US" w:eastAsia="zh-CN"/>
        </w:rPr>
        <w:t>50</w:t>
      </w:r>
      <w:r>
        <w:rPr>
          <w:rStyle w:val="19"/>
          <w:rFonts w:hint="eastAsia" w:ascii="仿宋" w:hAnsi="仿宋" w:eastAsia="仿宋"/>
          <w:bCs/>
          <w:color w:val="000000"/>
          <w:sz w:val="32"/>
          <w:szCs w:val="32"/>
        </w:rPr>
        <w:t>（项）</w:t>
      </w:r>
      <w:r>
        <w:rPr>
          <w:rStyle w:val="19"/>
          <w:rFonts w:hint="eastAsia" w:ascii="仿宋" w:hAnsi="仿宋" w:eastAsia="仿宋"/>
          <w:bCs/>
          <w:color w:val="000000"/>
          <w:sz w:val="32"/>
          <w:szCs w:val="32"/>
          <w:lang w:eastAsia="zh-CN"/>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Fonts w:hint="eastAsia" w:ascii="仿宋" w:hAnsi="仿宋" w:eastAsia="仿宋"/>
          <w:sz w:val="32"/>
          <w:szCs w:val="32"/>
        </w:rPr>
        <w:t>9.25</w:t>
      </w:r>
      <w:r>
        <w:rPr>
          <w:rStyle w:val="19"/>
          <w:rFonts w:hint="eastAsia" w:ascii="仿宋" w:hAnsi="仿宋" w:eastAsia="仿宋"/>
          <w:b w:val="0"/>
          <w:bCs/>
          <w:sz w:val="32"/>
          <w:szCs w:val="32"/>
        </w:rPr>
        <w:t>万元，完成预算100</w:t>
      </w:r>
      <w:r>
        <w:rPr>
          <w:rFonts w:ascii="仿宋" w:hAnsi="仿宋" w:eastAsia="仿宋"/>
          <w:sz w:val="32"/>
          <w:szCs w:val="32"/>
        </w:rPr>
        <w:t>%</w:t>
      </w:r>
      <w:r>
        <w:rPr>
          <w:rStyle w:val="19"/>
          <w:rFonts w:hint="eastAsia" w:ascii="仿宋" w:hAnsi="仿宋" w:eastAsia="仿宋"/>
          <w:b w:val="0"/>
          <w:bCs/>
          <w:sz w:val="32"/>
          <w:szCs w:val="32"/>
        </w:rPr>
        <w:t>。</w:t>
      </w:r>
    </w:p>
    <w:p w14:paraId="5394A59A">
      <w:pPr>
        <w:pageBreakBefore w:val="0"/>
        <w:numPr>
          <w:ilvl w:val="0"/>
          <w:numId w:val="0"/>
        </w:numPr>
        <w:kinsoku/>
        <w:wordWrap/>
        <w:overflowPunct/>
        <w:topLinePunct w:val="0"/>
        <w:bidi w:val="0"/>
        <w:spacing w:line="600" w:lineRule="exact"/>
        <w:ind w:left="0" w:leftChars="0" w:firstLine="640" w:firstLineChars="200"/>
        <w:textAlignment w:val="auto"/>
        <w:rPr>
          <w:rStyle w:val="19"/>
          <w:rFonts w:ascii="仿宋" w:hAnsi="仿宋" w:eastAsia="仿宋"/>
          <w:b w:val="0"/>
          <w:bCs/>
          <w:sz w:val="32"/>
          <w:szCs w:val="32"/>
        </w:rPr>
      </w:pPr>
      <w:r>
        <w:rPr>
          <w:rStyle w:val="19"/>
          <w:rFonts w:hint="eastAsia" w:ascii="仿宋" w:hAnsi="仿宋" w:eastAsia="仿宋"/>
          <w:b w:val="0"/>
          <w:bCs w:val="0"/>
          <w:color w:val="000000"/>
          <w:sz w:val="32"/>
          <w:szCs w:val="32"/>
          <w:lang w:val="en-US" w:eastAsia="zh-CN"/>
        </w:rPr>
        <w:t>6.</w:t>
      </w:r>
      <w:r>
        <w:rPr>
          <w:rStyle w:val="19"/>
          <w:rFonts w:hint="eastAsia" w:ascii="仿宋" w:hAnsi="仿宋" w:eastAsia="仿宋"/>
          <w:bCs/>
          <w:color w:val="000000"/>
          <w:sz w:val="32"/>
          <w:szCs w:val="32"/>
        </w:rPr>
        <w:t>社会保障和就业208（类）05（款）01（项）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Fonts w:hint="eastAsia" w:ascii="仿宋" w:hAnsi="仿宋" w:eastAsia="仿宋"/>
          <w:sz w:val="32"/>
          <w:szCs w:val="32"/>
        </w:rPr>
        <w:t>11.23</w:t>
      </w:r>
      <w:r>
        <w:rPr>
          <w:rStyle w:val="19"/>
          <w:rFonts w:hint="eastAsia" w:ascii="仿宋" w:hAnsi="仿宋" w:eastAsia="仿宋"/>
          <w:b w:val="0"/>
          <w:bCs/>
          <w:sz w:val="32"/>
          <w:szCs w:val="32"/>
        </w:rPr>
        <w:t>万元，完成预算100</w:t>
      </w:r>
      <w:r>
        <w:rPr>
          <w:rFonts w:ascii="仿宋" w:hAnsi="仿宋" w:eastAsia="仿宋"/>
          <w:sz w:val="32"/>
          <w:szCs w:val="32"/>
        </w:rPr>
        <w:t>%</w:t>
      </w:r>
      <w:r>
        <w:rPr>
          <w:rStyle w:val="19"/>
          <w:rFonts w:hint="eastAsia" w:ascii="仿宋" w:hAnsi="仿宋" w:eastAsia="仿宋"/>
          <w:b w:val="0"/>
          <w:bCs/>
          <w:sz w:val="32"/>
          <w:szCs w:val="32"/>
        </w:rPr>
        <w:t>。</w:t>
      </w:r>
    </w:p>
    <w:p w14:paraId="183E31D8">
      <w:pPr>
        <w:pageBreakBefore w:val="0"/>
        <w:numPr>
          <w:ilvl w:val="0"/>
          <w:numId w:val="0"/>
        </w:numPr>
        <w:kinsoku/>
        <w:wordWrap/>
        <w:overflowPunct/>
        <w:topLinePunct w:val="0"/>
        <w:bidi w:val="0"/>
        <w:spacing w:line="600" w:lineRule="exact"/>
        <w:ind w:left="0" w:leftChars="0" w:firstLine="640" w:firstLineChars="200"/>
        <w:textAlignment w:val="auto"/>
      </w:pPr>
      <w:r>
        <w:rPr>
          <w:rStyle w:val="19"/>
          <w:rFonts w:hint="eastAsia" w:ascii="仿宋" w:hAnsi="仿宋" w:eastAsia="仿宋"/>
          <w:b w:val="0"/>
          <w:bCs w:val="0"/>
          <w:color w:val="000000"/>
          <w:sz w:val="32"/>
          <w:szCs w:val="32"/>
          <w:lang w:val="en-US" w:eastAsia="zh-CN"/>
        </w:rPr>
        <w:t>7.</w:t>
      </w:r>
      <w:r>
        <w:rPr>
          <w:rStyle w:val="19"/>
          <w:rFonts w:hint="eastAsia" w:ascii="仿宋" w:hAnsi="仿宋" w:eastAsia="仿宋"/>
          <w:bCs/>
          <w:color w:val="000000"/>
          <w:sz w:val="32"/>
          <w:szCs w:val="32"/>
        </w:rPr>
        <w:t>社会保障和就业208（类）05（款）0</w:t>
      </w:r>
      <w:r>
        <w:rPr>
          <w:rStyle w:val="19"/>
          <w:rFonts w:hint="eastAsia" w:ascii="仿宋" w:hAnsi="仿宋" w:eastAsia="仿宋"/>
          <w:bCs/>
          <w:color w:val="000000"/>
          <w:sz w:val="32"/>
          <w:szCs w:val="32"/>
          <w:lang w:val="en-US" w:eastAsia="zh-CN"/>
        </w:rPr>
        <w:t>2</w:t>
      </w:r>
      <w:r>
        <w:rPr>
          <w:rStyle w:val="19"/>
          <w:rFonts w:hint="eastAsia" w:ascii="仿宋" w:hAnsi="仿宋" w:eastAsia="仿宋"/>
          <w:bCs/>
          <w:color w:val="000000"/>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Fonts w:hint="eastAsia" w:ascii="仿宋" w:hAnsi="仿宋" w:eastAsia="仿宋"/>
          <w:sz w:val="32"/>
          <w:szCs w:val="32"/>
        </w:rPr>
        <w:t>5.15</w:t>
      </w:r>
      <w:r>
        <w:rPr>
          <w:rStyle w:val="19"/>
          <w:rFonts w:hint="eastAsia" w:ascii="仿宋" w:hAnsi="仿宋" w:eastAsia="仿宋"/>
          <w:b w:val="0"/>
          <w:bCs/>
          <w:sz w:val="32"/>
          <w:szCs w:val="32"/>
        </w:rPr>
        <w:t>万元，完成预算 100</w:t>
      </w:r>
      <w:r>
        <w:rPr>
          <w:rFonts w:ascii="仿宋" w:hAnsi="仿宋" w:eastAsia="仿宋"/>
          <w:sz w:val="32"/>
          <w:szCs w:val="32"/>
        </w:rPr>
        <w:t>%</w:t>
      </w:r>
      <w:r>
        <w:rPr>
          <w:rStyle w:val="19"/>
          <w:rFonts w:hint="eastAsia" w:ascii="仿宋" w:hAnsi="仿宋" w:eastAsia="仿宋"/>
          <w:b w:val="0"/>
          <w:bCs/>
          <w:sz w:val="32"/>
          <w:szCs w:val="32"/>
        </w:rPr>
        <w:t>。</w:t>
      </w:r>
    </w:p>
    <w:p w14:paraId="3FA8A69F">
      <w:pPr>
        <w:pageBreakBefore w:val="0"/>
        <w:numPr>
          <w:ilvl w:val="0"/>
          <w:numId w:val="0"/>
        </w:numPr>
        <w:kinsoku/>
        <w:wordWrap/>
        <w:overflowPunct/>
        <w:topLinePunct w:val="0"/>
        <w:bidi w:val="0"/>
        <w:spacing w:line="600" w:lineRule="exact"/>
        <w:ind w:left="0" w:leftChars="0" w:firstLine="640" w:firstLineChars="200"/>
        <w:textAlignment w:val="auto"/>
        <w:rPr>
          <w:rStyle w:val="19"/>
          <w:rFonts w:ascii="仿宋" w:hAnsi="仿宋" w:eastAsia="仿宋"/>
          <w:b w:val="0"/>
          <w:bCs/>
          <w:sz w:val="32"/>
          <w:szCs w:val="32"/>
        </w:rPr>
      </w:pPr>
      <w:r>
        <w:rPr>
          <w:rFonts w:hint="eastAsia" w:ascii="仿宋" w:hAnsi="仿宋" w:eastAsia="仿宋" w:cs="Times New Roman"/>
          <w:b w:val="0"/>
          <w:bCs/>
          <w:color w:val="auto"/>
          <w:kern w:val="2"/>
          <w:sz w:val="32"/>
          <w:szCs w:val="32"/>
          <w:lang w:val="en-US" w:eastAsia="zh-CN" w:bidi="ar-SA"/>
        </w:rPr>
        <w:t>8.</w:t>
      </w:r>
      <w:r>
        <w:rPr>
          <w:rStyle w:val="19"/>
          <w:rFonts w:hint="eastAsia" w:ascii="仿宋" w:hAnsi="仿宋" w:eastAsia="仿宋"/>
          <w:bCs/>
          <w:color w:val="000000"/>
          <w:sz w:val="32"/>
          <w:szCs w:val="32"/>
        </w:rPr>
        <w:t>社会保障和就业208（类）05（款）05（项）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Fonts w:hint="eastAsia" w:ascii="仿宋" w:hAnsi="仿宋" w:eastAsia="仿宋"/>
          <w:sz w:val="32"/>
          <w:szCs w:val="32"/>
        </w:rPr>
        <w:t>84.26</w:t>
      </w:r>
      <w:r>
        <w:rPr>
          <w:rStyle w:val="19"/>
          <w:rFonts w:hint="eastAsia" w:ascii="仿宋" w:hAnsi="仿宋" w:eastAsia="仿宋"/>
          <w:b w:val="0"/>
          <w:bCs/>
          <w:sz w:val="32"/>
          <w:szCs w:val="32"/>
        </w:rPr>
        <w:t>万元，完成预算 100</w:t>
      </w:r>
      <w:r>
        <w:rPr>
          <w:rFonts w:ascii="仿宋" w:hAnsi="仿宋" w:eastAsia="仿宋"/>
          <w:sz w:val="32"/>
          <w:szCs w:val="32"/>
        </w:rPr>
        <w:t>%</w:t>
      </w:r>
      <w:r>
        <w:rPr>
          <w:rStyle w:val="19"/>
          <w:rFonts w:hint="eastAsia" w:ascii="仿宋" w:hAnsi="仿宋" w:eastAsia="仿宋"/>
          <w:b w:val="0"/>
          <w:bCs/>
          <w:sz w:val="32"/>
          <w:szCs w:val="32"/>
        </w:rPr>
        <w:t>。</w:t>
      </w:r>
    </w:p>
    <w:p w14:paraId="7786D7AA">
      <w:pPr>
        <w:pageBreakBefore w:val="0"/>
        <w:numPr>
          <w:ilvl w:val="0"/>
          <w:numId w:val="0"/>
        </w:numPr>
        <w:kinsoku/>
        <w:wordWrap/>
        <w:overflowPunct/>
        <w:topLinePunct w:val="0"/>
        <w:bidi w:val="0"/>
        <w:spacing w:line="600" w:lineRule="exact"/>
        <w:ind w:left="0" w:leftChars="0" w:firstLine="640" w:firstLineChars="200"/>
        <w:textAlignment w:val="auto"/>
        <w:rPr>
          <w:rStyle w:val="19"/>
          <w:rFonts w:hint="eastAsia" w:ascii="仿宋" w:hAnsi="仿宋" w:eastAsia="仿宋"/>
          <w:b w:val="0"/>
          <w:bCs/>
          <w:sz w:val="32"/>
          <w:szCs w:val="32"/>
          <w:highlight w:val="none"/>
        </w:rPr>
      </w:pPr>
      <w:r>
        <w:rPr>
          <w:rFonts w:hint="eastAsia" w:ascii="仿宋" w:hAnsi="仿宋" w:eastAsia="仿宋" w:cs="Times New Roman"/>
          <w:b w:val="0"/>
          <w:bCs/>
          <w:color w:val="auto"/>
          <w:kern w:val="2"/>
          <w:sz w:val="32"/>
          <w:szCs w:val="32"/>
          <w:lang w:val="en-US" w:eastAsia="zh-CN" w:bidi="ar-SA"/>
        </w:rPr>
        <w:t>9.</w:t>
      </w:r>
      <w:r>
        <w:rPr>
          <w:rStyle w:val="19"/>
          <w:rFonts w:hint="eastAsia" w:ascii="仿宋" w:hAnsi="仿宋" w:eastAsia="仿宋"/>
          <w:bCs/>
          <w:color w:val="000000"/>
          <w:sz w:val="32"/>
          <w:szCs w:val="32"/>
          <w:highlight w:val="none"/>
        </w:rPr>
        <w:t>社会保障和就业20</w:t>
      </w:r>
      <w:r>
        <w:rPr>
          <w:rStyle w:val="19"/>
          <w:rFonts w:hint="eastAsia" w:ascii="仿宋" w:hAnsi="仿宋" w:eastAsia="仿宋"/>
          <w:bCs/>
          <w:color w:val="000000"/>
          <w:sz w:val="32"/>
          <w:szCs w:val="32"/>
          <w:highlight w:val="none"/>
          <w:lang w:val="en-US" w:eastAsia="zh-CN"/>
        </w:rPr>
        <w:t>8</w:t>
      </w:r>
      <w:r>
        <w:rPr>
          <w:rStyle w:val="19"/>
          <w:rFonts w:hint="eastAsia" w:ascii="仿宋" w:hAnsi="仿宋" w:eastAsia="仿宋"/>
          <w:bCs/>
          <w:color w:val="000000"/>
          <w:sz w:val="32"/>
          <w:szCs w:val="32"/>
          <w:highlight w:val="none"/>
        </w:rPr>
        <w:t>（类）</w:t>
      </w:r>
      <w:r>
        <w:rPr>
          <w:rStyle w:val="19"/>
          <w:rFonts w:hint="eastAsia" w:ascii="仿宋" w:hAnsi="仿宋" w:eastAsia="仿宋"/>
          <w:bCs/>
          <w:color w:val="000000"/>
          <w:sz w:val="32"/>
          <w:szCs w:val="32"/>
          <w:highlight w:val="none"/>
          <w:lang w:val="en-US" w:eastAsia="zh-CN"/>
        </w:rPr>
        <w:t>05</w:t>
      </w:r>
      <w:r>
        <w:rPr>
          <w:rStyle w:val="19"/>
          <w:rFonts w:hint="eastAsia" w:ascii="仿宋" w:hAnsi="仿宋" w:eastAsia="仿宋"/>
          <w:bCs/>
          <w:color w:val="000000"/>
          <w:sz w:val="32"/>
          <w:szCs w:val="32"/>
          <w:highlight w:val="none"/>
        </w:rPr>
        <w:t>（款）</w:t>
      </w:r>
      <w:r>
        <w:rPr>
          <w:rStyle w:val="19"/>
          <w:rFonts w:hint="eastAsia" w:ascii="仿宋" w:hAnsi="仿宋" w:eastAsia="仿宋"/>
          <w:bCs/>
          <w:color w:val="000000"/>
          <w:sz w:val="32"/>
          <w:szCs w:val="32"/>
          <w:highlight w:val="none"/>
          <w:lang w:val="en-US" w:eastAsia="zh-CN"/>
        </w:rPr>
        <w:t>06</w:t>
      </w:r>
      <w:r>
        <w:rPr>
          <w:rStyle w:val="19"/>
          <w:rFonts w:hint="eastAsia" w:ascii="仿宋" w:hAnsi="仿宋" w:eastAsia="仿宋"/>
          <w:bCs/>
          <w:color w:val="000000"/>
          <w:sz w:val="32"/>
          <w:szCs w:val="32"/>
          <w:highlight w:val="none"/>
        </w:rPr>
        <w:t>（项）</w:t>
      </w:r>
      <w:r>
        <w:rPr>
          <w:rStyle w:val="19"/>
          <w:rFonts w:ascii="仿宋" w:hAnsi="仿宋" w:eastAsia="仿宋"/>
          <w:bCs/>
          <w:sz w:val="32"/>
          <w:szCs w:val="32"/>
          <w:highlight w:val="none"/>
        </w:rPr>
        <w:t>:</w:t>
      </w:r>
      <w:r>
        <w:rPr>
          <w:rStyle w:val="19"/>
          <w:rFonts w:ascii="仿宋" w:hAnsi="仿宋" w:eastAsia="仿宋"/>
          <w:b w:val="0"/>
          <w:bCs/>
          <w:sz w:val="32"/>
          <w:szCs w:val="32"/>
          <w:highlight w:val="none"/>
        </w:rPr>
        <w:t xml:space="preserve"> </w:t>
      </w:r>
      <w:r>
        <w:rPr>
          <w:rStyle w:val="19"/>
          <w:rFonts w:hint="eastAsia" w:ascii="仿宋" w:hAnsi="仿宋" w:eastAsia="仿宋"/>
          <w:b w:val="0"/>
          <w:bCs/>
          <w:sz w:val="32"/>
          <w:szCs w:val="32"/>
          <w:highlight w:val="none"/>
        </w:rPr>
        <w:t>支出决算为</w:t>
      </w:r>
      <w:r>
        <w:rPr>
          <w:rFonts w:hint="eastAsia" w:ascii="仿宋" w:hAnsi="仿宋" w:eastAsia="仿宋"/>
          <w:sz w:val="32"/>
          <w:szCs w:val="32"/>
          <w:highlight w:val="none"/>
        </w:rPr>
        <w:t>10.29</w:t>
      </w:r>
      <w:r>
        <w:rPr>
          <w:rStyle w:val="19"/>
          <w:rFonts w:hint="eastAsia" w:ascii="仿宋" w:hAnsi="仿宋" w:eastAsia="仿宋"/>
          <w:b w:val="0"/>
          <w:bCs/>
          <w:sz w:val="32"/>
          <w:szCs w:val="32"/>
          <w:highlight w:val="none"/>
        </w:rPr>
        <w:t>万元，完成预算100</w:t>
      </w:r>
      <w:r>
        <w:rPr>
          <w:rFonts w:ascii="仿宋" w:hAnsi="仿宋" w:eastAsia="仿宋"/>
          <w:sz w:val="32"/>
          <w:szCs w:val="32"/>
          <w:highlight w:val="none"/>
        </w:rPr>
        <w:t>%</w:t>
      </w:r>
      <w:r>
        <w:rPr>
          <w:rStyle w:val="19"/>
          <w:rFonts w:hint="eastAsia" w:ascii="仿宋" w:hAnsi="仿宋" w:eastAsia="仿宋"/>
          <w:b w:val="0"/>
          <w:bCs/>
          <w:sz w:val="32"/>
          <w:szCs w:val="32"/>
          <w:highlight w:val="none"/>
        </w:rPr>
        <w:t>。</w:t>
      </w:r>
    </w:p>
    <w:p w14:paraId="5F3BCF89">
      <w:pPr>
        <w:pageBreakBefore w:val="0"/>
        <w:numPr>
          <w:ilvl w:val="0"/>
          <w:numId w:val="0"/>
        </w:numPr>
        <w:kinsoku/>
        <w:wordWrap/>
        <w:overflowPunct/>
        <w:topLinePunct w:val="0"/>
        <w:bidi w:val="0"/>
        <w:spacing w:line="600" w:lineRule="exact"/>
        <w:ind w:left="0" w:leftChars="0" w:firstLine="640" w:firstLineChars="200"/>
        <w:textAlignment w:val="auto"/>
      </w:pPr>
      <w:r>
        <w:rPr>
          <w:rFonts w:hint="eastAsia" w:ascii="仿宋" w:hAnsi="仿宋" w:eastAsia="仿宋" w:cs="Times New Roman"/>
          <w:b w:val="0"/>
          <w:bCs/>
          <w:color w:val="auto"/>
          <w:kern w:val="2"/>
          <w:sz w:val="32"/>
          <w:szCs w:val="32"/>
          <w:lang w:val="en-US" w:eastAsia="zh-CN" w:bidi="ar-SA"/>
        </w:rPr>
        <w:t>10.</w:t>
      </w:r>
      <w:r>
        <w:rPr>
          <w:rStyle w:val="19"/>
          <w:rFonts w:hint="eastAsia" w:ascii="仿宋" w:hAnsi="仿宋" w:eastAsia="仿宋"/>
          <w:bCs/>
          <w:color w:val="000000"/>
          <w:sz w:val="32"/>
          <w:szCs w:val="32"/>
          <w:highlight w:val="none"/>
        </w:rPr>
        <w:t>社会保障和就业20</w:t>
      </w:r>
      <w:r>
        <w:rPr>
          <w:rStyle w:val="19"/>
          <w:rFonts w:hint="eastAsia" w:ascii="仿宋" w:hAnsi="仿宋" w:eastAsia="仿宋"/>
          <w:bCs/>
          <w:color w:val="000000"/>
          <w:sz w:val="32"/>
          <w:szCs w:val="32"/>
          <w:highlight w:val="none"/>
          <w:lang w:val="en-US" w:eastAsia="zh-CN"/>
        </w:rPr>
        <w:t>8</w:t>
      </w:r>
      <w:r>
        <w:rPr>
          <w:rStyle w:val="19"/>
          <w:rFonts w:hint="eastAsia" w:ascii="仿宋" w:hAnsi="仿宋" w:eastAsia="仿宋"/>
          <w:bCs/>
          <w:color w:val="000000"/>
          <w:sz w:val="32"/>
          <w:szCs w:val="32"/>
          <w:highlight w:val="none"/>
        </w:rPr>
        <w:t>（类）</w:t>
      </w:r>
      <w:r>
        <w:rPr>
          <w:rStyle w:val="19"/>
          <w:rFonts w:hint="eastAsia" w:ascii="仿宋" w:hAnsi="仿宋" w:eastAsia="仿宋"/>
          <w:bCs/>
          <w:color w:val="000000"/>
          <w:sz w:val="32"/>
          <w:szCs w:val="32"/>
          <w:highlight w:val="none"/>
          <w:lang w:val="en-US" w:eastAsia="zh-CN"/>
        </w:rPr>
        <w:t>10</w:t>
      </w:r>
      <w:r>
        <w:rPr>
          <w:rStyle w:val="19"/>
          <w:rFonts w:hint="eastAsia" w:ascii="仿宋" w:hAnsi="仿宋" w:eastAsia="仿宋"/>
          <w:bCs/>
          <w:color w:val="000000"/>
          <w:sz w:val="32"/>
          <w:szCs w:val="32"/>
          <w:highlight w:val="none"/>
        </w:rPr>
        <w:t>（款）</w:t>
      </w:r>
      <w:r>
        <w:rPr>
          <w:rStyle w:val="19"/>
          <w:rFonts w:hint="eastAsia" w:ascii="仿宋" w:hAnsi="仿宋" w:eastAsia="仿宋"/>
          <w:bCs/>
          <w:color w:val="000000"/>
          <w:sz w:val="32"/>
          <w:szCs w:val="32"/>
          <w:highlight w:val="none"/>
          <w:lang w:val="en-US" w:eastAsia="zh-CN"/>
        </w:rPr>
        <w:t>01</w:t>
      </w:r>
      <w:r>
        <w:rPr>
          <w:rStyle w:val="19"/>
          <w:rFonts w:hint="eastAsia" w:ascii="仿宋" w:hAnsi="仿宋" w:eastAsia="仿宋"/>
          <w:bCs/>
          <w:color w:val="000000"/>
          <w:sz w:val="32"/>
          <w:szCs w:val="32"/>
          <w:highlight w:val="none"/>
        </w:rPr>
        <w:t>（项）</w:t>
      </w:r>
      <w:r>
        <w:rPr>
          <w:rStyle w:val="19"/>
          <w:rFonts w:ascii="仿宋" w:hAnsi="仿宋" w:eastAsia="仿宋"/>
          <w:bCs/>
          <w:sz w:val="32"/>
          <w:szCs w:val="32"/>
          <w:highlight w:val="none"/>
        </w:rPr>
        <w:t>:</w:t>
      </w:r>
      <w:r>
        <w:rPr>
          <w:rStyle w:val="19"/>
          <w:rFonts w:ascii="仿宋" w:hAnsi="仿宋" w:eastAsia="仿宋"/>
          <w:b w:val="0"/>
          <w:bCs/>
          <w:sz w:val="32"/>
          <w:szCs w:val="32"/>
          <w:highlight w:val="none"/>
        </w:rPr>
        <w:t xml:space="preserve"> </w:t>
      </w:r>
      <w:r>
        <w:rPr>
          <w:rStyle w:val="19"/>
          <w:rFonts w:hint="eastAsia" w:ascii="仿宋" w:hAnsi="仿宋" w:eastAsia="仿宋"/>
          <w:b w:val="0"/>
          <w:bCs/>
          <w:sz w:val="32"/>
          <w:szCs w:val="32"/>
          <w:highlight w:val="none"/>
        </w:rPr>
        <w:t>支出决算为</w:t>
      </w:r>
      <w:r>
        <w:rPr>
          <w:rFonts w:hint="eastAsia" w:ascii="仿宋" w:hAnsi="仿宋" w:eastAsia="仿宋"/>
          <w:sz w:val="32"/>
          <w:szCs w:val="32"/>
          <w:highlight w:val="none"/>
        </w:rPr>
        <w:t>0.62</w:t>
      </w:r>
      <w:r>
        <w:rPr>
          <w:rStyle w:val="19"/>
          <w:rFonts w:hint="eastAsia" w:ascii="仿宋" w:hAnsi="仿宋" w:eastAsia="仿宋"/>
          <w:b w:val="0"/>
          <w:bCs/>
          <w:sz w:val="32"/>
          <w:szCs w:val="32"/>
          <w:highlight w:val="none"/>
        </w:rPr>
        <w:t>万元，完成预算100</w:t>
      </w:r>
      <w:r>
        <w:rPr>
          <w:rFonts w:ascii="仿宋" w:hAnsi="仿宋" w:eastAsia="仿宋"/>
          <w:sz w:val="32"/>
          <w:szCs w:val="32"/>
          <w:highlight w:val="none"/>
        </w:rPr>
        <w:t>%</w:t>
      </w:r>
      <w:r>
        <w:rPr>
          <w:rStyle w:val="19"/>
          <w:rFonts w:hint="eastAsia" w:ascii="仿宋" w:hAnsi="仿宋" w:eastAsia="仿宋"/>
          <w:b w:val="0"/>
          <w:bCs/>
          <w:sz w:val="32"/>
          <w:szCs w:val="32"/>
          <w:highlight w:val="none"/>
        </w:rPr>
        <w:t>。</w:t>
      </w:r>
    </w:p>
    <w:p w14:paraId="0AB50F43">
      <w:pPr>
        <w:pageBreakBefore w:val="0"/>
        <w:numPr>
          <w:ilvl w:val="0"/>
          <w:numId w:val="0"/>
        </w:numPr>
        <w:kinsoku/>
        <w:wordWrap/>
        <w:overflowPunct/>
        <w:topLinePunct w:val="0"/>
        <w:bidi w:val="0"/>
        <w:spacing w:line="600" w:lineRule="exact"/>
        <w:ind w:left="0" w:leftChars="0" w:firstLine="640" w:firstLineChars="200"/>
        <w:textAlignment w:val="auto"/>
        <w:rPr>
          <w:rStyle w:val="19"/>
          <w:rFonts w:ascii="仿宋" w:hAnsi="仿宋" w:eastAsia="仿宋"/>
          <w:b w:val="0"/>
          <w:bCs/>
          <w:sz w:val="32"/>
          <w:szCs w:val="32"/>
          <w:highlight w:val="none"/>
        </w:rPr>
      </w:pPr>
      <w:r>
        <w:rPr>
          <w:rFonts w:hint="eastAsia" w:ascii="仿宋" w:hAnsi="仿宋" w:eastAsia="仿宋" w:cs="Times New Roman"/>
          <w:b w:val="0"/>
          <w:bCs/>
          <w:color w:val="auto"/>
          <w:kern w:val="2"/>
          <w:sz w:val="32"/>
          <w:szCs w:val="32"/>
          <w:lang w:val="en-US" w:eastAsia="zh-CN" w:bidi="ar-SA"/>
        </w:rPr>
        <w:t>11.</w:t>
      </w:r>
      <w:r>
        <w:rPr>
          <w:rStyle w:val="19"/>
          <w:rFonts w:hint="eastAsia" w:ascii="仿宋" w:hAnsi="仿宋" w:eastAsia="仿宋"/>
          <w:bCs/>
          <w:color w:val="000000"/>
          <w:sz w:val="32"/>
          <w:szCs w:val="32"/>
          <w:highlight w:val="none"/>
        </w:rPr>
        <w:t>卫生健康</w:t>
      </w:r>
      <w:r>
        <w:rPr>
          <w:rStyle w:val="19"/>
          <w:rFonts w:hint="eastAsia" w:ascii="仿宋" w:hAnsi="仿宋" w:eastAsia="仿宋"/>
          <w:bCs/>
          <w:color w:val="000000"/>
          <w:sz w:val="32"/>
          <w:szCs w:val="32"/>
          <w:highlight w:val="none"/>
          <w:lang w:val="en-US" w:eastAsia="zh-CN"/>
        </w:rPr>
        <w:t>210</w:t>
      </w:r>
      <w:r>
        <w:rPr>
          <w:rStyle w:val="19"/>
          <w:rFonts w:hint="eastAsia" w:ascii="仿宋" w:hAnsi="仿宋" w:eastAsia="仿宋"/>
          <w:bCs/>
          <w:color w:val="000000"/>
          <w:sz w:val="32"/>
          <w:szCs w:val="32"/>
          <w:highlight w:val="none"/>
        </w:rPr>
        <w:t>（类）</w:t>
      </w:r>
      <w:r>
        <w:rPr>
          <w:rStyle w:val="19"/>
          <w:rFonts w:hint="eastAsia" w:ascii="仿宋" w:hAnsi="仿宋" w:eastAsia="仿宋"/>
          <w:bCs/>
          <w:color w:val="000000"/>
          <w:sz w:val="32"/>
          <w:szCs w:val="32"/>
          <w:highlight w:val="none"/>
          <w:lang w:val="en-US" w:eastAsia="zh-CN"/>
        </w:rPr>
        <w:t>11</w:t>
      </w:r>
      <w:r>
        <w:rPr>
          <w:rStyle w:val="19"/>
          <w:rFonts w:hint="eastAsia" w:ascii="仿宋" w:hAnsi="仿宋" w:eastAsia="仿宋"/>
          <w:bCs/>
          <w:color w:val="000000"/>
          <w:sz w:val="32"/>
          <w:szCs w:val="32"/>
          <w:highlight w:val="none"/>
        </w:rPr>
        <w:t>（款）</w:t>
      </w:r>
      <w:r>
        <w:rPr>
          <w:rStyle w:val="19"/>
          <w:rFonts w:hint="eastAsia" w:ascii="仿宋" w:hAnsi="仿宋" w:eastAsia="仿宋"/>
          <w:bCs/>
          <w:color w:val="000000"/>
          <w:sz w:val="32"/>
          <w:szCs w:val="32"/>
          <w:highlight w:val="none"/>
          <w:lang w:val="en-US" w:eastAsia="zh-CN"/>
        </w:rPr>
        <w:t>01</w:t>
      </w:r>
      <w:r>
        <w:rPr>
          <w:rStyle w:val="19"/>
          <w:rFonts w:hint="eastAsia" w:ascii="仿宋" w:hAnsi="仿宋" w:eastAsia="仿宋"/>
          <w:bCs/>
          <w:color w:val="000000"/>
          <w:sz w:val="32"/>
          <w:szCs w:val="32"/>
          <w:highlight w:val="none"/>
        </w:rPr>
        <w:t>（项）</w:t>
      </w:r>
      <w:r>
        <w:rPr>
          <w:rStyle w:val="19"/>
          <w:rFonts w:ascii="仿宋" w:hAnsi="仿宋" w:eastAsia="仿宋"/>
          <w:bCs/>
          <w:sz w:val="32"/>
          <w:szCs w:val="32"/>
          <w:highlight w:val="none"/>
        </w:rPr>
        <w:t>:</w:t>
      </w:r>
      <w:r>
        <w:rPr>
          <w:rStyle w:val="19"/>
          <w:rFonts w:ascii="仿宋" w:hAnsi="仿宋" w:eastAsia="仿宋"/>
          <w:b w:val="0"/>
          <w:bCs/>
          <w:sz w:val="32"/>
          <w:szCs w:val="32"/>
          <w:highlight w:val="none"/>
        </w:rPr>
        <w:t xml:space="preserve"> </w:t>
      </w:r>
      <w:r>
        <w:rPr>
          <w:rStyle w:val="19"/>
          <w:rFonts w:hint="eastAsia" w:ascii="仿宋" w:hAnsi="仿宋" w:eastAsia="仿宋"/>
          <w:b w:val="0"/>
          <w:bCs/>
          <w:sz w:val="32"/>
          <w:szCs w:val="32"/>
          <w:highlight w:val="none"/>
        </w:rPr>
        <w:t>支出决算为</w:t>
      </w:r>
      <w:r>
        <w:rPr>
          <w:rFonts w:hint="eastAsia" w:ascii="仿宋" w:hAnsi="仿宋" w:eastAsia="仿宋"/>
          <w:sz w:val="32"/>
          <w:szCs w:val="32"/>
          <w:highlight w:val="none"/>
        </w:rPr>
        <w:t>16.27</w:t>
      </w:r>
      <w:r>
        <w:rPr>
          <w:rStyle w:val="19"/>
          <w:rFonts w:hint="eastAsia" w:ascii="仿宋" w:hAnsi="仿宋" w:eastAsia="仿宋"/>
          <w:b w:val="0"/>
          <w:bCs/>
          <w:sz w:val="32"/>
          <w:szCs w:val="32"/>
          <w:highlight w:val="none"/>
        </w:rPr>
        <w:t>万元，完成预算100</w:t>
      </w:r>
      <w:r>
        <w:rPr>
          <w:rFonts w:ascii="仿宋" w:hAnsi="仿宋" w:eastAsia="仿宋"/>
          <w:sz w:val="32"/>
          <w:szCs w:val="32"/>
          <w:highlight w:val="none"/>
        </w:rPr>
        <w:t>%</w:t>
      </w:r>
      <w:r>
        <w:rPr>
          <w:rStyle w:val="19"/>
          <w:rFonts w:hint="eastAsia" w:ascii="仿宋" w:hAnsi="仿宋" w:eastAsia="仿宋"/>
          <w:b w:val="0"/>
          <w:bCs/>
          <w:sz w:val="32"/>
          <w:szCs w:val="32"/>
          <w:highlight w:val="none"/>
        </w:rPr>
        <w:t>。</w:t>
      </w:r>
    </w:p>
    <w:p w14:paraId="275B137D">
      <w:pPr>
        <w:pageBreakBefore w:val="0"/>
        <w:numPr>
          <w:ilvl w:val="0"/>
          <w:numId w:val="0"/>
        </w:numPr>
        <w:kinsoku/>
        <w:wordWrap/>
        <w:overflowPunct/>
        <w:topLinePunct w:val="0"/>
        <w:bidi w:val="0"/>
        <w:spacing w:line="600" w:lineRule="exact"/>
        <w:ind w:left="0" w:leftChars="0" w:firstLine="640" w:firstLineChars="200"/>
        <w:textAlignment w:val="auto"/>
        <w:rPr>
          <w:rStyle w:val="19"/>
          <w:rFonts w:ascii="仿宋" w:hAnsi="仿宋" w:eastAsia="仿宋"/>
          <w:b w:val="0"/>
          <w:bCs/>
          <w:sz w:val="32"/>
          <w:szCs w:val="32"/>
          <w:highlight w:val="none"/>
        </w:rPr>
      </w:pPr>
      <w:r>
        <w:rPr>
          <w:rFonts w:hint="eastAsia" w:ascii="仿宋" w:hAnsi="仿宋" w:eastAsia="仿宋" w:cs="Times New Roman"/>
          <w:b w:val="0"/>
          <w:bCs/>
          <w:color w:val="auto"/>
          <w:kern w:val="2"/>
          <w:sz w:val="32"/>
          <w:szCs w:val="32"/>
          <w:lang w:val="en-US" w:eastAsia="zh-CN" w:bidi="ar-SA"/>
        </w:rPr>
        <w:t>12.</w:t>
      </w:r>
      <w:r>
        <w:rPr>
          <w:rStyle w:val="19"/>
          <w:rFonts w:hint="eastAsia" w:ascii="仿宋" w:hAnsi="仿宋" w:eastAsia="仿宋"/>
          <w:bCs/>
          <w:color w:val="000000"/>
          <w:sz w:val="32"/>
          <w:szCs w:val="32"/>
          <w:highlight w:val="none"/>
        </w:rPr>
        <w:t>卫生健康</w:t>
      </w:r>
      <w:r>
        <w:rPr>
          <w:rStyle w:val="19"/>
          <w:rFonts w:hint="eastAsia" w:ascii="仿宋" w:hAnsi="仿宋" w:eastAsia="仿宋"/>
          <w:bCs/>
          <w:color w:val="000000"/>
          <w:sz w:val="32"/>
          <w:szCs w:val="32"/>
          <w:highlight w:val="none"/>
          <w:lang w:val="en-US" w:eastAsia="zh-CN"/>
        </w:rPr>
        <w:t>210</w:t>
      </w:r>
      <w:r>
        <w:rPr>
          <w:rStyle w:val="19"/>
          <w:rFonts w:hint="eastAsia" w:ascii="仿宋" w:hAnsi="仿宋" w:eastAsia="仿宋"/>
          <w:bCs/>
          <w:color w:val="000000"/>
          <w:sz w:val="32"/>
          <w:szCs w:val="32"/>
          <w:highlight w:val="none"/>
        </w:rPr>
        <w:t>（类）</w:t>
      </w:r>
      <w:r>
        <w:rPr>
          <w:rStyle w:val="19"/>
          <w:rFonts w:hint="eastAsia" w:ascii="仿宋" w:hAnsi="仿宋" w:eastAsia="仿宋"/>
          <w:bCs/>
          <w:color w:val="000000"/>
          <w:sz w:val="32"/>
          <w:szCs w:val="32"/>
          <w:highlight w:val="none"/>
          <w:lang w:val="en-US" w:eastAsia="zh-CN"/>
        </w:rPr>
        <w:t>11</w:t>
      </w:r>
      <w:r>
        <w:rPr>
          <w:rStyle w:val="19"/>
          <w:rFonts w:hint="eastAsia" w:ascii="仿宋" w:hAnsi="仿宋" w:eastAsia="仿宋"/>
          <w:bCs/>
          <w:color w:val="000000"/>
          <w:sz w:val="32"/>
          <w:szCs w:val="32"/>
          <w:highlight w:val="none"/>
        </w:rPr>
        <w:t>（款）</w:t>
      </w:r>
      <w:r>
        <w:rPr>
          <w:rStyle w:val="19"/>
          <w:rFonts w:hint="eastAsia" w:ascii="仿宋" w:hAnsi="仿宋" w:eastAsia="仿宋"/>
          <w:bCs/>
          <w:color w:val="000000"/>
          <w:sz w:val="32"/>
          <w:szCs w:val="32"/>
          <w:highlight w:val="none"/>
          <w:lang w:val="en-US" w:eastAsia="zh-CN"/>
        </w:rPr>
        <w:t>02</w:t>
      </w:r>
      <w:r>
        <w:rPr>
          <w:rStyle w:val="19"/>
          <w:rFonts w:hint="eastAsia" w:ascii="仿宋" w:hAnsi="仿宋" w:eastAsia="仿宋"/>
          <w:bCs/>
          <w:color w:val="000000"/>
          <w:sz w:val="32"/>
          <w:szCs w:val="32"/>
          <w:highlight w:val="none"/>
        </w:rPr>
        <w:t>（项）</w:t>
      </w:r>
      <w:r>
        <w:rPr>
          <w:rStyle w:val="19"/>
          <w:rFonts w:ascii="仿宋" w:hAnsi="仿宋" w:eastAsia="仿宋"/>
          <w:bCs/>
          <w:sz w:val="32"/>
          <w:szCs w:val="32"/>
          <w:highlight w:val="none"/>
        </w:rPr>
        <w:t>:</w:t>
      </w:r>
      <w:r>
        <w:rPr>
          <w:rStyle w:val="19"/>
          <w:rFonts w:ascii="仿宋" w:hAnsi="仿宋" w:eastAsia="仿宋"/>
          <w:b w:val="0"/>
          <w:bCs/>
          <w:sz w:val="32"/>
          <w:szCs w:val="32"/>
          <w:highlight w:val="none"/>
        </w:rPr>
        <w:t xml:space="preserve"> </w:t>
      </w:r>
      <w:r>
        <w:rPr>
          <w:rStyle w:val="19"/>
          <w:rFonts w:hint="eastAsia" w:ascii="仿宋" w:hAnsi="仿宋" w:eastAsia="仿宋"/>
          <w:b w:val="0"/>
          <w:bCs/>
          <w:sz w:val="32"/>
          <w:szCs w:val="32"/>
          <w:highlight w:val="none"/>
        </w:rPr>
        <w:t>支出决算为</w:t>
      </w:r>
      <w:r>
        <w:rPr>
          <w:rFonts w:hint="eastAsia" w:ascii="仿宋" w:hAnsi="仿宋" w:eastAsia="仿宋"/>
          <w:sz w:val="32"/>
          <w:szCs w:val="32"/>
          <w:highlight w:val="none"/>
        </w:rPr>
        <w:t>27.01</w:t>
      </w:r>
      <w:r>
        <w:rPr>
          <w:rStyle w:val="19"/>
          <w:rFonts w:hint="eastAsia" w:ascii="仿宋" w:hAnsi="仿宋" w:eastAsia="仿宋"/>
          <w:b w:val="0"/>
          <w:bCs/>
          <w:sz w:val="32"/>
          <w:szCs w:val="32"/>
          <w:highlight w:val="none"/>
        </w:rPr>
        <w:t>万元，完成预算100</w:t>
      </w:r>
      <w:r>
        <w:rPr>
          <w:rFonts w:ascii="仿宋" w:hAnsi="仿宋" w:eastAsia="仿宋"/>
          <w:sz w:val="32"/>
          <w:szCs w:val="32"/>
          <w:highlight w:val="none"/>
        </w:rPr>
        <w:t>%</w:t>
      </w:r>
      <w:r>
        <w:rPr>
          <w:rStyle w:val="19"/>
          <w:rFonts w:hint="eastAsia" w:ascii="仿宋" w:hAnsi="仿宋" w:eastAsia="仿宋"/>
          <w:b w:val="0"/>
          <w:bCs/>
          <w:sz w:val="32"/>
          <w:szCs w:val="32"/>
          <w:highlight w:val="none"/>
        </w:rPr>
        <w:t>。</w:t>
      </w:r>
    </w:p>
    <w:p w14:paraId="3FEC86AB">
      <w:pPr>
        <w:pageBreakBefore w:val="0"/>
        <w:numPr>
          <w:ilvl w:val="0"/>
          <w:numId w:val="0"/>
        </w:numPr>
        <w:kinsoku/>
        <w:wordWrap/>
        <w:overflowPunct/>
        <w:topLinePunct w:val="0"/>
        <w:bidi w:val="0"/>
        <w:spacing w:line="600" w:lineRule="exact"/>
        <w:ind w:left="0" w:leftChars="0" w:firstLine="640" w:firstLineChars="200"/>
        <w:textAlignment w:val="auto"/>
        <w:rPr>
          <w:rStyle w:val="19"/>
          <w:rFonts w:ascii="仿宋" w:hAnsi="仿宋" w:eastAsia="仿宋"/>
          <w:b w:val="0"/>
          <w:bCs/>
          <w:sz w:val="32"/>
          <w:szCs w:val="32"/>
          <w:highlight w:val="none"/>
        </w:rPr>
      </w:pPr>
      <w:r>
        <w:rPr>
          <w:rFonts w:hint="eastAsia" w:ascii="仿宋" w:hAnsi="仿宋" w:eastAsia="仿宋" w:cs="Times New Roman"/>
          <w:b w:val="0"/>
          <w:bCs/>
          <w:color w:val="auto"/>
          <w:kern w:val="2"/>
          <w:sz w:val="32"/>
          <w:szCs w:val="32"/>
          <w:lang w:val="en-US" w:eastAsia="zh-CN" w:bidi="ar-SA"/>
        </w:rPr>
        <w:t>13.</w:t>
      </w:r>
      <w:r>
        <w:rPr>
          <w:rStyle w:val="19"/>
          <w:rFonts w:hint="eastAsia" w:ascii="仿宋" w:hAnsi="仿宋" w:eastAsia="仿宋"/>
          <w:bCs/>
          <w:color w:val="000000"/>
          <w:sz w:val="32"/>
          <w:szCs w:val="32"/>
          <w:highlight w:val="none"/>
        </w:rPr>
        <w:t>卫生健康</w:t>
      </w:r>
      <w:r>
        <w:rPr>
          <w:rStyle w:val="19"/>
          <w:rFonts w:hint="eastAsia" w:ascii="仿宋" w:hAnsi="仿宋" w:eastAsia="仿宋"/>
          <w:bCs/>
          <w:color w:val="000000"/>
          <w:sz w:val="32"/>
          <w:szCs w:val="32"/>
          <w:highlight w:val="none"/>
          <w:lang w:val="en-US" w:eastAsia="zh-CN"/>
        </w:rPr>
        <w:t>210</w:t>
      </w:r>
      <w:r>
        <w:rPr>
          <w:rStyle w:val="19"/>
          <w:rFonts w:hint="eastAsia" w:ascii="仿宋" w:hAnsi="仿宋" w:eastAsia="仿宋"/>
          <w:bCs/>
          <w:color w:val="000000"/>
          <w:sz w:val="32"/>
          <w:szCs w:val="32"/>
          <w:highlight w:val="none"/>
        </w:rPr>
        <w:t>（类）</w:t>
      </w:r>
      <w:r>
        <w:rPr>
          <w:rStyle w:val="19"/>
          <w:rFonts w:hint="eastAsia" w:ascii="仿宋" w:hAnsi="仿宋" w:eastAsia="仿宋"/>
          <w:bCs/>
          <w:color w:val="000000"/>
          <w:sz w:val="32"/>
          <w:szCs w:val="32"/>
          <w:highlight w:val="none"/>
          <w:lang w:val="en-US" w:eastAsia="zh-CN"/>
        </w:rPr>
        <w:t>11</w:t>
      </w:r>
      <w:r>
        <w:rPr>
          <w:rStyle w:val="19"/>
          <w:rFonts w:hint="eastAsia" w:ascii="仿宋" w:hAnsi="仿宋" w:eastAsia="仿宋"/>
          <w:bCs/>
          <w:color w:val="000000"/>
          <w:sz w:val="32"/>
          <w:szCs w:val="32"/>
          <w:highlight w:val="none"/>
        </w:rPr>
        <w:t>（款）</w:t>
      </w:r>
      <w:r>
        <w:rPr>
          <w:rStyle w:val="19"/>
          <w:rFonts w:hint="eastAsia" w:ascii="仿宋" w:hAnsi="仿宋" w:eastAsia="仿宋"/>
          <w:bCs/>
          <w:color w:val="000000"/>
          <w:sz w:val="32"/>
          <w:szCs w:val="32"/>
          <w:highlight w:val="none"/>
          <w:lang w:val="en-US" w:eastAsia="zh-CN"/>
        </w:rPr>
        <w:t>03</w:t>
      </w:r>
      <w:r>
        <w:rPr>
          <w:rStyle w:val="19"/>
          <w:rFonts w:hint="eastAsia" w:ascii="仿宋" w:hAnsi="仿宋" w:eastAsia="仿宋"/>
          <w:bCs/>
          <w:color w:val="000000"/>
          <w:sz w:val="32"/>
          <w:szCs w:val="32"/>
          <w:highlight w:val="none"/>
        </w:rPr>
        <w:t>（项）</w:t>
      </w:r>
      <w:r>
        <w:rPr>
          <w:rStyle w:val="19"/>
          <w:rFonts w:ascii="仿宋" w:hAnsi="仿宋" w:eastAsia="仿宋"/>
          <w:bCs/>
          <w:sz w:val="32"/>
          <w:szCs w:val="32"/>
          <w:highlight w:val="none"/>
        </w:rPr>
        <w:t>:</w:t>
      </w:r>
      <w:r>
        <w:rPr>
          <w:rStyle w:val="19"/>
          <w:rFonts w:ascii="仿宋" w:hAnsi="仿宋" w:eastAsia="仿宋"/>
          <w:b w:val="0"/>
          <w:bCs/>
          <w:sz w:val="32"/>
          <w:szCs w:val="32"/>
          <w:highlight w:val="none"/>
        </w:rPr>
        <w:t xml:space="preserve"> </w:t>
      </w:r>
      <w:r>
        <w:rPr>
          <w:rStyle w:val="19"/>
          <w:rFonts w:hint="eastAsia" w:ascii="仿宋" w:hAnsi="仿宋" w:eastAsia="仿宋"/>
          <w:b w:val="0"/>
          <w:bCs/>
          <w:sz w:val="32"/>
          <w:szCs w:val="32"/>
          <w:highlight w:val="none"/>
        </w:rPr>
        <w:t>支出决算为</w:t>
      </w:r>
      <w:r>
        <w:rPr>
          <w:rFonts w:hint="eastAsia" w:ascii="仿宋" w:hAnsi="仿宋" w:eastAsia="仿宋"/>
          <w:sz w:val="32"/>
          <w:szCs w:val="32"/>
          <w:highlight w:val="none"/>
        </w:rPr>
        <w:t>9.97</w:t>
      </w:r>
      <w:r>
        <w:rPr>
          <w:rStyle w:val="19"/>
          <w:rFonts w:hint="eastAsia" w:ascii="仿宋" w:hAnsi="仿宋" w:eastAsia="仿宋"/>
          <w:b w:val="0"/>
          <w:bCs/>
          <w:sz w:val="32"/>
          <w:szCs w:val="32"/>
          <w:highlight w:val="none"/>
        </w:rPr>
        <w:t>万元，完成预算100</w:t>
      </w:r>
      <w:r>
        <w:rPr>
          <w:rFonts w:ascii="仿宋" w:hAnsi="仿宋" w:eastAsia="仿宋"/>
          <w:sz w:val="32"/>
          <w:szCs w:val="32"/>
          <w:highlight w:val="none"/>
        </w:rPr>
        <w:t>%</w:t>
      </w:r>
      <w:r>
        <w:rPr>
          <w:rStyle w:val="19"/>
          <w:rFonts w:hint="eastAsia" w:ascii="仿宋" w:hAnsi="仿宋" w:eastAsia="仿宋"/>
          <w:b w:val="0"/>
          <w:bCs/>
          <w:sz w:val="32"/>
          <w:szCs w:val="32"/>
          <w:highlight w:val="none"/>
        </w:rPr>
        <w:t>。</w:t>
      </w:r>
    </w:p>
    <w:p w14:paraId="66EA7229">
      <w:pPr>
        <w:pageBreakBefore w:val="0"/>
        <w:numPr>
          <w:ilvl w:val="0"/>
          <w:numId w:val="0"/>
        </w:numPr>
        <w:kinsoku/>
        <w:wordWrap/>
        <w:overflowPunct/>
        <w:topLinePunct w:val="0"/>
        <w:bidi w:val="0"/>
        <w:spacing w:line="600" w:lineRule="exact"/>
        <w:ind w:left="0" w:leftChars="0" w:firstLine="640" w:firstLineChars="200"/>
        <w:textAlignment w:val="auto"/>
        <w:rPr>
          <w:rStyle w:val="19"/>
          <w:rFonts w:hint="eastAsia" w:ascii="仿宋" w:hAnsi="仿宋" w:eastAsia="仿宋"/>
          <w:b w:val="0"/>
          <w:bCs/>
          <w:sz w:val="32"/>
          <w:szCs w:val="32"/>
        </w:rPr>
      </w:pPr>
      <w:r>
        <w:rPr>
          <w:rFonts w:hint="default" w:ascii="仿宋" w:hAnsi="仿宋" w:eastAsia="仿宋" w:cs="Times New Roman"/>
          <w:b w:val="0"/>
          <w:bCs/>
          <w:color w:val="auto"/>
          <w:kern w:val="2"/>
          <w:sz w:val="32"/>
          <w:szCs w:val="32"/>
          <w:lang w:val="en-US" w:eastAsia="zh-CN" w:bidi="ar-SA"/>
        </w:rPr>
        <w:t>1</w:t>
      </w:r>
      <w:r>
        <w:rPr>
          <w:rFonts w:hint="eastAsia" w:ascii="仿宋" w:hAnsi="仿宋" w:eastAsia="仿宋" w:cs="Times New Roman"/>
          <w:b w:val="0"/>
          <w:bCs/>
          <w:color w:val="auto"/>
          <w:kern w:val="2"/>
          <w:sz w:val="32"/>
          <w:szCs w:val="32"/>
          <w:lang w:val="en-US" w:eastAsia="zh-CN" w:bidi="ar-SA"/>
        </w:rPr>
        <w:t>4</w:t>
      </w:r>
      <w:r>
        <w:rPr>
          <w:rFonts w:hint="default" w:ascii="仿宋" w:hAnsi="仿宋" w:eastAsia="仿宋" w:cs="Times New Roman"/>
          <w:b w:val="0"/>
          <w:bCs/>
          <w:color w:val="auto"/>
          <w:kern w:val="2"/>
          <w:sz w:val="32"/>
          <w:szCs w:val="32"/>
          <w:lang w:val="en-US" w:eastAsia="zh-CN" w:bidi="ar-SA"/>
        </w:rPr>
        <w:t>.</w:t>
      </w:r>
      <w:r>
        <w:rPr>
          <w:rStyle w:val="19"/>
          <w:rFonts w:hint="eastAsia" w:ascii="仿宋" w:hAnsi="仿宋" w:eastAsia="仿宋"/>
          <w:bCs/>
          <w:color w:val="000000"/>
          <w:sz w:val="32"/>
          <w:szCs w:val="32"/>
        </w:rPr>
        <w:t>城乡社区212（类）03（款）99（项）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Fonts w:hint="eastAsia" w:ascii="仿宋" w:hAnsi="仿宋" w:eastAsia="仿宋"/>
          <w:sz w:val="32"/>
          <w:szCs w:val="32"/>
          <w:lang w:val="en-US" w:eastAsia="zh-CN"/>
        </w:rPr>
        <w:t>10</w:t>
      </w:r>
      <w:r>
        <w:rPr>
          <w:rStyle w:val="19"/>
          <w:rFonts w:hint="eastAsia" w:ascii="仿宋" w:hAnsi="仿宋" w:eastAsia="仿宋"/>
          <w:b w:val="0"/>
          <w:bCs/>
          <w:sz w:val="32"/>
          <w:szCs w:val="32"/>
        </w:rPr>
        <w:t>万元，完成预算 100</w:t>
      </w:r>
      <w:r>
        <w:rPr>
          <w:rFonts w:ascii="仿宋" w:hAnsi="仿宋" w:eastAsia="仿宋"/>
          <w:sz w:val="32"/>
          <w:szCs w:val="32"/>
        </w:rPr>
        <w:t>%</w:t>
      </w:r>
      <w:r>
        <w:rPr>
          <w:rStyle w:val="19"/>
          <w:rFonts w:hint="eastAsia" w:ascii="仿宋" w:hAnsi="仿宋" w:eastAsia="仿宋"/>
          <w:b w:val="0"/>
          <w:bCs/>
          <w:sz w:val="32"/>
          <w:szCs w:val="32"/>
        </w:rPr>
        <w:t>。</w:t>
      </w:r>
    </w:p>
    <w:p w14:paraId="10CA10BD">
      <w:pPr>
        <w:pageBreakBefore w:val="0"/>
        <w:numPr>
          <w:ilvl w:val="0"/>
          <w:numId w:val="0"/>
        </w:numPr>
        <w:kinsoku/>
        <w:wordWrap/>
        <w:overflowPunct/>
        <w:topLinePunct w:val="0"/>
        <w:bidi w:val="0"/>
        <w:spacing w:line="600" w:lineRule="exact"/>
        <w:ind w:left="0" w:leftChars="0" w:firstLine="640" w:firstLineChars="200"/>
        <w:textAlignment w:val="auto"/>
        <w:rPr>
          <w:rFonts w:eastAsia="仿宋_GB2312" w:cs="仿宋_GB2312"/>
          <w:sz w:val="32"/>
          <w:szCs w:val="32"/>
        </w:rPr>
      </w:pPr>
      <w:r>
        <w:rPr>
          <w:rStyle w:val="19"/>
          <w:rFonts w:hint="eastAsia" w:ascii="仿宋" w:hAnsi="仿宋" w:eastAsia="仿宋"/>
          <w:b w:val="0"/>
          <w:bCs w:val="0"/>
          <w:color w:val="000000"/>
          <w:sz w:val="32"/>
          <w:szCs w:val="32"/>
          <w:lang w:val="en-US" w:eastAsia="zh-CN"/>
        </w:rPr>
        <w:t>15.</w:t>
      </w:r>
      <w:r>
        <w:rPr>
          <w:rStyle w:val="19"/>
          <w:rFonts w:hint="eastAsia" w:ascii="仿宋" w:hAnsi="仿宋" w:eastAsia="仿宋"/>
          <w:bCs/>
          <w:color w:val="000000"/>
          <w:sz w:val="32"/>
          <w:szCs w:val="32"/>
        </w:rPr>
        <w:t>住房保障221（类）02（款）01（项）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Fonts w:hint="eastAsia" w:ascii="仿宋" w:hAnsi="仿宋" w:eastAsia="仿宋"/>
          <w:sz w:val="32"/>
          <w:szCs w:val="32"/>
        </w:rPr>
        <w:t>64.24</w:t>
      </w:r>
      <w:r>
        <w:rPr>
          <w:rStyle w:val="19"/>
          <w:rFonts w:hint="eastAsia" w:ascii="仿宋" w:hAnsi="仿宋" w:eastAsia="仿宋"/>
          <w:b w:val="0"/>
          <w:bCs/>
          <w:sz w:val="32"/>
          <w:szCs w:val="32"/>
        </w:rPr>
        <w:t>万元，完成预算 100</w:t>
      </w:r>
      <w:r>
        <w:rPr>
          <w:rFonts w:ascii="仿宋" w:hAnsi="仿宋" w:eastAsia="仿宋"/>
          <w:sz w:val="32"/>
          <w:szCs w:val="32"/>
        </w:rPr>
        <w:t>%</w:t>
      </w:r>
      <w:r>
        <w:rPr>
          <w:rStyle w:val="19"/>
          <w:rFonts w:hint="eastAsia" w:ascii="仿宋" w:hAnsi="仿宋" w:eastAsia="仿宋"/>
          <w:b w:val="0"/>
          <w:bCs/>
          <w:sz w:val="32"/>
          <w:szCs w:val="32"/>
        </w:rPr>
        <w:t>。</w:t>
      </w:r>
    </w:p>
    <w:p w14:paraId="43CE8131">
      <w:pPr>
        <w:pageBreakBefore w:val="0"/>
        <w:tabs>
          <w:tab w:val="right" w:pos="8306"/>
        </w:tabs>
        <w:kinsoku/>
        <w:wordWrap/>
        <w:overflowPunct/>
        <w:topLinePunct w:val="0"/>
        <w:bidi w:val="0"/>
        <w:spacing w:line="600" w:lineRule="exact"/>
        <w:ind w:left="0" w:leftChars="0" w:firstLine="640"/>
        <w:textAlignment w:val="auto"/>
        <w:outlineLvl w:val="1"/>
        <w:rPr>
          <w:rStyle w:val="31"/>
          <w:rFonts w:ascii="Times New Roman" w:hAnsi="Times New Roman"/>
        </w:rPr>
      </w:pPr>
      <w:bookmarkStart w:id="39" w:name="_Toc15377214"/>
      <w:bookmarkStart w:id="40" w:name="_Toc15396608"/>
      <w:r>
        <w:rPr>
          <w:rFonts w:hint="eastAsia" w:eastAsia="黑体"/>
          <w:sz w:val="32"/>
          <w:szCs w:val="32"/>
        </w:rPr>
        <w:t>六</w:t>
      </w:r>
      <w:r>
        <w:rPr>
          <w:rFonts w:hint="eastAsia" w:eastAsia="黑体"/>
          <w:b/>
          <w:sz w:val="32"/>
          <w:szCs w:val="32"/>
        </w:rPr>
        <w:t>、一</w:t>
      </w:r>
      <w:r>
        <w:rPr>
          <w:rStyle w:val="31"/>
          <w:rFonts w:hint="eastAsia" w:ascii="Times New Roman" w:hAnsi="Times New Roman" w:eastAsia="黑体"/>
          <w:b w:val="0"/>
        </w:rPr>
        <w:t>般公共预算财政拨款基本支出决算情况说明</w:t>
      </w:r>
      <w:bookmarkEnd w:id="39"/>
      <w:bookmarkEnd w:id="40"/>
      <w:r>
        <w:rPr>
          <w:rStyle w:val="31"/>
          <w:rFonts w:ascii="Times New Roman" w:hAnsi="Times New Roman" w:eastAsia="黑体"/>
          <w:b w:val="0"/>
        </w:rPr>
        <w:tab/>
      </w:r>
    </w:p>
    <w:p w14:paraId="5E8DB675">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2025年度一般公共预算财政拨款基本支出1120.96万元，其中：</w:t>
      </w:r>
    </w:p>
    <w:p w14:paraId="43CE1891">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1054.4</w:t>
      </w:r>
      <w:r>
        <w:rPr>
          <w:rFonts w:hint="eastAsia" w:eastAsia="仿宋_GB2312" w:cs="仿宋_GB2312"/>
          <w:sz w:val="32"/>
          <w:szCs w:val="32"/>
        </w:rPr>
        <w:t>万元，主要包括：基本工资、津贴补贴、奖金、伙食补助费、绩效工资、机关事业单位基本养老保险缴费、职业年金缴费、其他社会保障缴费、其他工资福利支出、退休费、生活补助、医疗费补助、奖励金、住房公积金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66.56</w:t>
      </w:r>
      <w:r>
        <w:rPr>
          <w:rFonts w:hint="eastAsia" w:eastAsia="仿宋_GB2312" w:cs="仿宋_GB2312"/>
          <w:sz w:val="32"/>
          <w:szCs w:val="32"/>
        </w:rPr>
        <w:t>万元，主要包括：办公费、咨询费、邮电费、差旅费、租赁费、会议费、培训费、公务接待费、劳务费、委托业务费、工会经费、福利费、公务用车运行维护费、其他交通费、其他商品和服务支出、办公设备购置等。</w:t>
      </w:r>
    </w:p>
    <w:p w14:paraId="6A9F4E38">
      <w:pPr>
        <w:pageBreakBefore w:val="0"/>
        <w:kinsoku/>
        <w:wordWrap/>
        <w:overflowPunct/>
        <w:topLinePunct w:val="0"/>
        <w:bidi w:val="0"/>
        <w:spacing w:line="600" w:lineRule="exact"/>
        <w:ind w:left="0" w:leftChars="0" w:firstLine="640"/>
        <w:textAlignment w:val="auto"/>
        <w:outlineLvl w:val="1"/>
        <w:rPr>
          <w:rStyle w:val="31"/>
          <w:rFonts w:ascii="Times New Roman" w:hAnsi="Times New Roman" w:eastAsia="黑体"/>
          <w:b w:val="0"/>
        </w:rPr>
      </w:pPr>
      <w:bookmarkStart w:id="41" w:name="_Toc15396609"/>
      <w:bookmarkStart w:id="42" w:name="_Toc15377215"/>
      <w:r>
        <w:rPr>
          <w:rFonts w:hint="eastAsia" w:eastAsia="黑体"/>
          <w:sz w:val="32"/>
          <w:szCs w:val="32"/>
        </w:rPr>
        <w:t>七、</w:t>
      </w:r>
      <w:r>
        <w:rPr>
          <w:rStyle w:val="31"/>
          <w:rFonts w:hint="eastAsia" w:ascii="Times New Roman" w:hAnsi="Times New Roman" w:eastAsia="黑体"/>
          <w:b w:val="0"/>
        </w:rPr>
        <w:t>财政拨款</w:t>
      </w:r>
      <w:r>
        <w:rPr>
          <w:rStyle w:val="31"/>
          <w:rFonts w:hint="eastAsia" w:ascii="Times New Roman" w:hAnsi="Times New Roman" w:eastAsia="黑体"/>
        </w:rPr>
        <w:t>“</w:t>
      </w:r>
      <w:r>
        <w:rPr>
          <w:rStyle w:val="31"/>
          <w:rFonts w:hint="eastAsia" w:ascii="Times New Roman" w:hAnsi="Times New Roman" w:eastAsia="黑体"/>
          <w:b w:val="0"/>
        </w:rPr>
        <w:t>三公”经费支出决算情况说明</w:t>
      </w:r>
      <w:bookmarkEnd w:id="41"/>
      <w:bookmarkEnd w:id="42"/>
    </w:p>
    <w:p w14:paraId="6683AED0">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43" w:name="_Toc15377216"/>
      <w:r>
        <w:rPr>
          <w:rFonts w:hint="eastAsia" w:eastAsia="楷体_GB2312" w:cs="楷体_GB2312"/>
          <w:b/>
          <w:sz w:val="32"/>
          <w:szCs w:val="32"/>
        </w:rPr>
        <w:t>（一）财政拨款“三公”经费支出决算总体情况说明</w:t>
      </w:r>
      <w:bookmarkEnd w:id="43"/>
    </w:p>
    <w:p w14:paraId="1C666CCF">
      <w:pPr>
        <w:pageBreakBefore w:val="0"/>
        <w:kinsoku/>
        <w:wordWrap/>
        <w:overflowPunct/>
        <w:topLinePunct w:val="0"/>
        <w:bidi w:val="0"/>
        <w:spacing w:line="600" w:lineRule="exact"/>
        <w:ind w:left="0" w:leftChars="0" w:firstLine="640"/>
        <w:textAlignment w:val="auto"/>
        <w:rPr>
          <w:rFonts w:eastAsia="仿宋_GB2312" w:cs="仿宋_GB2312"/>
          <w:b/>
          <w:bCs/>
          <w:sz w:val="32"/>
          <w:szCs w:val="32"/>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2.6</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%，较上年度增加</w:t>
      </w:r>
      <w:r>
        <w:rPr>
          <w:rFonts w:hint="eastAsia" w:eastAsia="仿宋_GB2312" w:cs="仿宋_GB2312"/>
          <w:sz w:val="32"/>
          <w:szCs w:val="32"/>
          <w:lang w:val="en-US" w:eastAsia="zh-CN"/>
        </w:rPr>
        <w:t>0.75</w:t>
      </w:r>
      <w:r>
        <w:rPr>
          <w:rFonts w:hint="eastAsia" w:eastAsia="仿宋_GB2312" w:cs="仿宋_GB2312"/>
          <w:sz w:val="32"/>
          <w:szCs w:val="32"/>
        </w:rPr>
        <w:t>万元，增长</w:t>
      </w:r>
      <w:r>
        <w:rPr>
          <w:rFonts w:hint="eastAsia" w:eastAsia="仿宋_GB2312" w:cs="仿宋_GB2312"/>
          <w:sz w:val="32"/>
          <w:szCs w:val="32"/>
          <w:lang w:val="en-US" w:eastAsia="zh-CN"/>
        </w:rPr>
        <w:t>40.54</w:t>
      </w:r>
      <w:r>
        <w:rPr>
          <w:rFonts w:hint="eastAsia" w:eastAsia="仿宋_GB2312" w:cs="仿宋_GB2312"/>
          <w:sz w:val="32"/>
          <w:szCs w:val="32"/>
        </w:rPr>
        <w:t>%。主要原因是</w:t>
      </w:r>
      <w:r>
        <w:rPr>
          <w:rFonts w:hint="eastAsia" w:ascii="仿宋" w:hAnsi="仿宋" w:eastAsia="仿宋"/>
          <w:sz w:val="32"/>
          <w:szCs w:val="32"/>
        </w:rPr>
        <w:t>上级调研检查和市州间交流较</w:t>
      </w:r>
      <w:r>
        <w:rPr>
          <w:rFonts w:hint="eastAsia" w:ascii="仿宋" w:hAnsi="仿宋" w:eastAsia="仿宋"/>
          <w:sz w:val="32"/>
          <w:szCs w:val="32"/>
          <w:lang w:val="en-US" w:eastAsia="zh-CN"/>
        </w:rPr>
        <w:t>上一年多增加了公务接待费</w:t>
      </w:r>
      <w:r>
        <w:rPr>
          <w:rFonts w:hint="eastAsia" w:ascii="仿宋" w:hAnsi="仿宋" w:eastAsia="仿宋"/>
          <w:color w:val="auto"/>
          <w:sz w:val="32"/>
          <w:szCs w:val="32"/>
          <w:highlight w:val="none"/>
        </w:rPr>
        <w:t>。</w:t>
      </w:r>
    </w:p>
    <w:p w14:paraId="17D1059A">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44" w:name="_Toc15377217"/>
      <w:r>
        <w:rPr>
          <w:rFonts w:hint="eastAsia" w:eastAsia="楷体_GB2312" w:cs="楷体_GB2312"/>
          <w:b/>
          <w:sz w:val="32"/>
          <w:szCs w:val="32"/>
        </w:rPr>
        <w:t>（二）财政拨款“三公”经费支出决算具体情况说明</w:t>
      </w:r>
      <w:bookmarkEnd w:id="44"/>
    </w:p>
    <w:p w14:paraId="54116A31">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万元；公务用车购置及运行维护费支出决算</w:t>
      </w:r>
      <w:r>
        <w:rPr>
          <w:rFonts w:hint="eastAsia" w:eastAsia="仿宋_GB2312" w:cs="仿宋_GB2312"/>
          <w:sz w:val="32"/>
          <w:szCs w:val="32"/>
          <w:lang w:val="en-US" w:eastAsia="zh-CN"/>
        </w:rPr>
        <w:t>2.2</w:t>
      </w:r>
      <w:r>
        <w:rPr>
          <w:rFonts w:hint="eastAsia" w:eastAsia="仿宋_GB2312" w:cs="仿宋_GB2312"/>
          <w:sz w:val="32"/>
          <w:szCs w:val="32"/>
        </w:rPr>
        <w:t>万元，占</w:t>
      </w:r>
      <w:r>
        <w:rPr>
          <w:rFonts w:hint="eastAsia" w:eastAsia="仿宋_GB2312" w:cs="仿宋_GB2312"/>
          <w:sz w:val="32"/>
          <w:szCs w:val="32"/>
          <w:lang w:val="en-US" w:eastAsia="zh-CN"/>
        </w:rPr>
        <w:t>84.62</w:t>
      </w:r>
      <w:r>
        <w:rPr>
          <w:rFonts w:hint="eastAsia" w:eastAsia="仿宋_GB2312" w:cs="仿宋_GB2312"/>
          <w:sz w:val="32"/>
          <w:szCs w:val="32"/>
        </w:rPr>
        <w:t>%；公务接待费支出决算</w:t>
      </w:r>
      <w:r>
        <w:rPr>
          <w:rFonts w:hint="eastAsia" w:eastAsia="仿宋_GB2312" w:cs="仿宋_GB2312"/>
          <w:sz w:val="32"/>
          <w:szCs w:val="32"/>
          <w:lang w:val="en-US" w:eastAsia="zh-CN"/>
        </w:rPr>
        <w:t>0.4</w:t>
      </w:r>
      <w:r>
        <w:rPr>
          <w:rFonts w:hint="eastAsia" w:eastAsia="仿宋_GB2312" w:cs="仿宋_GB2312"/>
          <w:sz w:val="32"/>
          <w:szCs w:val="32"/>
        </w:rPr>
        <w:t>万元，占</w:t>
      </w:r>
      <w:r>
        <w:rPr>
          <w:rFonts w:hint="eastAsia" w:eastAsia="仿宋_GB2312" w:cs="仿宋_GB2312"/>
          <w:sz w:val="32"/>
          <w:szCs w:val="32"/>
          <w:lang w:val="en-US" w:eastAsia="zh-CN"/>
        </w:rPr>
        <w:t>15.38</w:t>
      </w:r>
      <w:r>
        <w:rPr>
          <w:rFonts w:hint="eastAsia" w:eastAsia="仿宋_GB2312" w:cs="仿宋_GB2312"/>
          <w:sz w:val="32"/>
          <w:szCs w:val="32"/>
        </w:rPr>
        <w:t>%。具体情况如下：</w:t>
      </w:r>
    </w:p>
    <w:p w14:paraId="7EC2B3AB">
      <w:pPr>
        <w:pStyle w:val="2"/>
        <w:pageBreakBefore w:val="0"/>
        <w:kinsoku/>
        <w:wordWrap/>
        <w:overflowPunct/>
        <w:topLinePunct w:val="0"/>
        <w:bidi w:val="0"/>
        <w:spacing w:beforeLines="0"/>
        <w:ind w:left="0" w:leftChars="0"/>
        <w:textAlignment w:val="auto"/>
        <w:rPr>
          <w:rFonts w:hint="eastAsia" w:eastAsia="仿宋_GB2312" w:cs="仿宋_GB2312"/>
          <w:sz w:val="32"/>
          <w:szCs w:val="32"/>
        </w:rPr>
      </w:pPr>
      <w:r>
        <w:rPr>
          <w:rFonts w:hint="eastAsia"/>
          <w:lang w:val="en-US" w:eastAsia="zh-CN"/>
        </w:rPr>
        <w:t xml:space="preserve">                 </w:t>
      </w:r>
      <w:r>
        <w:drawing>
          <wp:inline distT="0" distB="0" distL="114300" distR="114300">
            <wp:extent cx="2690495" cy="1939290"/>
            <wp:effectExtent l="0" t="0" r="6985" b="1143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5"/>
                    <a:stretch>
                      <a:fillRect/>
                    </a:stretch>
                  </pic:blipFill>
                  <pic:spPr>
                    <a:xfrm>
                      <a:off x="0" y="0"/>
                      <a:ext cx="2690495" cy="1939290"/>
                    </a:xfrm>
                    <a:prstGeom prst="rect">
                      <a:avLst/>
                    </a:prstGeom>
                    <a:noFill/>
                    <a:ln>
                      <a:noFill/>
                    </a:ln>
                  </pic:spPr>
                </pic:pic>
              </a:graphicData>
            </a:graphic>
          </wp:inline>
        </w:drawing>
      </w:r>
    </w:p>
    <w:p w14:paraId="6B0C3AA9">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（图7：财政拨款“三公”经费支出结构）（饼状图）</w:t>
      </w:r>
    </w:p>
    <w:p w14:paraId="3D9456CE">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w:t>
      </w:r>
    </w:p>
    <w:p w14:paraId="13401625">
      <w:pPr>
        <w:pageBreakBefore w:val="0"/>
        <w:kinsoku/>
        <w:wordWrap/>
        <w:overflowPunct/>
        <w:topLinePunct w:val="0"/>
        <w:bidi w:val="0"/>
        <w:spacing w:line="600" w:lineRule="exact"/>
        <w:ind w:left="0" w:leftChars="0" w:firstLine="640"/>
        <w:textAlignment w:val="auto"/>
        <w:rPr>
          <w:rFonts w:hint="eastAsia" w:ascii="仿宋" w:hAnsi="仿宋" w:eastAsia="仿宋"/>
          <w:sz w:val="32"/>
          <w:szCs w:val="32"/>
          <w:lang w:val="en-US" w:eastAsia="zh-CN"/>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2.2</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公务用车购置及运行维护费支出决算比上年度增加</w:t>
      </w:r>
      <w:r>
        <w:rPr>
          <w:rFonts w:hint="eastAsia" w:eastAsia="仿宋_GB2312" w:cs="仿宋_GB2312"/>
          <w:sz w:val="32"/>
          <w:szCs w:val="32"/>
          <w:lang w:val="en-US" w:eastAsia="zh-CN"/>
        </w:rPr>
        <w:t>0.47</w:t>
      </w:r>
      <w:r>
        <w:rPr>
          <w:rFonts w:hint="eastAsia" w:eastAsia="仿宋_GB2312" w:cs="仿宋_GB2312"/>
          <w:sz w:val="32"/>
          <w:szCs w:val="32"/>
        </w:rPr>
        <w:t>万元，增长</w:t>
      </w:r>
      <w:r>
        <w:rPr>
          <w:rFonts w:hint="eastAsia" w:eastAsia="仿宋_GB2312" w:cs="仿宋_GB2312"/>
          <w:sz w:val="32"/>
          <w:szCs w:val="32"/>
          <w:lang w:val="en-US" w:eastAsia="zh-CN"/>
        </w:rPr>
        <w:t>27.17</w:t>
      </w:r>
      <w:r>
        <w:rPr>
          <w:rFonts w:hint="eastAsia" w:eastAsia="仿宋_GB2312" w:cs="仿宋_GB2312"/>
          <w:sz w:val="32"/>
          <w:szCs w:val="32"/>
        </w:rPr>
        <w:t>%。主要原因是</w:t>
      </w:r>
      <w:r>
        <w:rPr>
          <w:rFonts w:hint="eastAsia" w:ascii="仿宋" w:hAnsi="仿宋" w:eastAsia="仿宋"/>
          <w:sz w:val="32"/>
          <w:szCs w:val="32"/>
        </w:rPr>
        <w:t>根据工作实际</w:t>
      </w:r>
      <w:r>
        <w:rPr>
          <w:rFonts w:hint="eastAsia" w:ascii="仿宋" w:hAnsi="仿宋" w:eastAsia="仿宋"/>
          <w:sz w:val="32"/>
          <w:szCs w:val="32"/>
          <w:lang w:val="en-US" w:eastAsia="zh-CN"/>
        </w:rPr>
        <w:t>安排车辆运行，其中一辆公务车因年久维修费用较多。</w:t>
      </w:r>
    </w:p>
    <w:p w14:paraId="2A1E2FCF">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万元。截至2025年12月31日，单位共有公务用车</w:t>
      </w:r>
      <w:r>
        <w:rPr>
          <w:rFonts w:hint="eastAsia" w:eastAsia="仿宋_GB2312" w:cs="仿宋_GB2312"/>
          <w:sz w:val="32"/>
          <w:szCs w:val="32"/>
          <w:lang w:val="en-US" w:eastAsia="zh-CN"/>
        </w:rPr>
        <w:t>3</w:t>
      </w:r>
      <w:r>
        <w:rPr>
          <w:rFonts w:hint="eastAsia" w:eastAsia="仿宋_GB2312" w:cs="仿宋_GB2312"/>
          <w:sz w:val="32"/>
          <w:szCs w:val="32"/>
        </w:rPr>
        <w:t>辆，其中：轿车</w:t>
      </w:r>
      <w:r>
        <w:rPr>
          <w:rFonts w:hint="eastAsia" w:eastAsia="仿宋_GB2312" w:cs="仿宋_GB2312"/>
          <w:sz w:val="32"/>
          <w:szCs w:val="32"/>
          <w:lang w:val="en-US" w:eastAsia="zh-CN"/>
        </w:rPr>
        <w:t>3</w:t>
      </w:r>
      <w:r>
        <w:rPr>
          <w:rFonts w:hint="eastAsia" w:eastAsia="仿宋_GB2312" w:cs="仿宋_GB2312"/>
          <w:sz w:val="32"/>
          <w:szCs w:val="32"/>
        </w:rPr>
        <w:t>辆。</w:t>
      </w:r>
    </w:p>
    <w:p w14:paraId="79ECC509">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2.2</w:t>
      </w:r>
      <w:r>
        <w:rPr>
          <w:rFonts w:hint="eastAsia" w:eastAsia="仿宋_GB2312" w:cs="仿宋_GB2312"/>
          <w:sz w:val="32"/>
          <w:szCs w:val="32"/>
        </w:rPr>
        <w:t>万元。主要用于</w:t>
      </w:r>
      <w:r>
        <w:rPr>
          <w:rFonts w:hint="eastAsia" w:eastAsia="仿宋_GB2312" w:cs="仿宋_GB2312"/>
          <w:sz w:val="32"/>
          <w:szCs w:val="32"/>
          <w:lang w:val="en-US" w:eastAsia="zh-CN"/>
        </w:rPr>
        <w:t>政务服务和公共资源交易</w:t>
      </w:r>
      <w:r>
        <w:rPr>
          <w:rFonts w:hint="eastAsia" w:eastAsia="仿宋_GB2312" w:cs="仿宋_GB2312"/>
          <w:sz w:val="32"/>
          <w:szCs w:val="32"/>
        </w:rPr>
        <w:t>所需的公务用车燃料费、维修费、过路过桥费、保险费等支出。</w:t>
      </w:r>
    </w:p>
    <w:p w14:paraId="1F6245F2">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0.4</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公务接待费支出决算比上年度增加</w:t>
      </w:r>
      <w:r>
        <w:rPr>
          <w:rFonts w:hint="eastAsia" w:eastAsia="仿宋_GB2312" w:cs="仿宋_GB2312"/>
          <w:sz w:val="32"/>
          <w:szCs w:val="32"/>
          <w:lang w:val="en-US" w:eastAsia="zh-CN"/>
        </w:rPr>
        <w:t>0.28</w:t>
      </w:r>
      <w:r>
        <w:rPr>
          <w:rFonts w:hint="eastAsia" w:eastAsia="仿宋_GB2312" w:cs="仿宋_GB2312"/>
          <w:sz w:val="32"/>
          <w:szCs w:val="32"/>
        </w:rPr>
        <w:t>万元，增长</w:t>
      </w:r>
      <w:r>
        <w:rPr>
          <w:rFonts w:hint="eastAsia" w:eastAsia="仿宋_GB2312" w:cs="仿宋_GB2312"/>
          <w:sz w:val="32"/>
          <w:szCs w:val="32"/>
          <w:lang w:val="en-US" w:eastAsia="zh-CN"/>
        </w:rPr>
        <w:t>233.33</w:t>
      </w:r>
      <w:r>
        <w:rPr>
          <w:rFonts w:hint="eastAsia" w:eastAsia="仿宋_GB2312" w:cs="仿宋_GB2312"/>
          <w:sz w:val="32"/>
          <w:szCs w:val="32"/>
        </w:rPr>
        <w:t>%。主要原因是</w:t>
      </w:r>
      <w:r>
        <w:rPr>
          <w:rFonts w:hint="eastAsia" w:ascii="仿宋" w:hAnsi="仿宋" w:eastAsia="仿宋"/>
          <w:sz w:val="32"/>
          <w:szCs w:val="32"/>
        </w:rPr>
        <w:t>上级调研检查和市州间交流较</w:t>
      </w:r>
      <w:r>
        <w:rPr>
          <w:rFonts w:hint="eastAsia" w:ascii="仿宋" w:hAnsi="仿宋" w:eastAsia="仿宋"/>
          <w:sz w:val="32"/>
          <w:szCs w:val="32"/>
          <w:lang w:val="en-US" w:eastAsia="zh-CN"/>
        </w:rPr>
        <w:t>上一年多</w:t>
      </w:r>
      <w:r>
        <w:rPr>
          <w:rFonts w:hint="eastAsia" w:eastAsia="仿宋_GB2312" w:cs="仿宋_GB2312"/>
          <w:sz w:val="32"/>
          <w:szCs w:val="32"/>
        </w:rPr>
        <w:t>。其中：</w:t>
      </w:r>
    </w:p>
    <w:p w14:paraId="125EBACF">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国内公务接待支出</w:t>
      </w:r>
      <w:r>
        <w:rPr>
          <w:rFonts w:hint="eastAsia" w:eastAsia="仿宋_GB2312" w:cs="仿宋_GB2312"/>
          <w:sz w:val="32"/>
          <w:szCs w:val="32"/>
          <w:lang w:val="en-US" w:eastAsia="zh-CN"/>
        </w:rPr>
        <w:t>0.4</w:t>
      </w:r>
      <w:r>
        <w:rPr>
          <w:rFonts w:hint="eastAsia" w:eastAsia="仿宋_GB2312" w:cs="仿宋_GB2312"/>
          <w:sz w:val="32"/>
          <w:szCs w:val="32"/>
        </w:rPr>
        <w:t>万元，主要用于</w:t>
      </w:r>
      <w:r>
        <w:rPr>
          <w:rFonts w:hint="eastAsia" w:eastAsia="仿宋_GB2312" w:cs="仿宋_GB2312"/>
          <w:sz w:val="32"/>
          <w:szCs w:val="32"/>
          <w:lang w:val="en-US" w:eastAsia="zh-CN"/>
        </w:rPr>
        <w:t>政务服务工作调研等的餐费</w:t>
      </w:r>
      <w:r>
        <w:rPr>
          <w:rFonts w:hint="eastAsia" w:eastAsia="仿宋_GB2312" w:cs="仿宋_GB2312"/>
          <w:sz w:val="32"/>
          <w:szCs w:val="32"/>
        </w:rPr>
        <w:t>。国内公务接待</w:t>
      </w:r>
      <w:r>
        <w:rPr>
          <w:rFonts w:hint="eastAsia" w:eastAsia="仿宋_GB2312" w:cs="仿宋_GB2312"/>
          <w:sz w:val="32"/>
          <w:szCs w:val="32"/>
          <w:lang w:val="en-US" w:eastAsia="zh-CN"/>
        </w:rPr>
        <w:t>4</w:t>
      </w:r>
      <w:r>
        <w:rPr>
          <w:rFonts w:hint="eastAsia" w:eastAsia="仿宋_GB2312" w:cs="仿宋_GB2312"/>
          <w:sz w:val="32"/>
          <w:szCs w:val="32"/>
        </w:rPr>
        <w:t>批次，</w:t>
      </w:r>
      <w:r>
        <w:rPr>
          <w:rFonts w:hint="eastAsia" w:eastAsia="仿宋_GB2312" w:cs="仿宋_GB2312"/>
          <w:sz w:val="32"/>
          <w:szCs w:val="32"/>
          <w:lang w:val="en-US" w:eastAsia="zh-CN"/>
        </w:rPr>
        <w:t>19</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0.4</w:t>
      </w:r>
      <w:r>
        <w:rPr>
          <w:rFonts w:hint="eastAsia" w:eastAsia="仿宋_GB2312" w:cs="仿宋_GB2312"/>
          <w:sz w:val="32"/>
          <w:szCs w:val="32"/>
        </w:rPr>
        <w:t>万元，具体内容包括：</w:t>
      </w:r>
      <w:r>
        <w:rPr>
          <w:rFonts w:hint="eastAsia" w:eastAsia="仿宋_GB2312" w:cs="仿宋_GB2312"/>
          <w:sz w:val="32"/>
          <w:szCs w:val="32"/>
          <w:lang w:val="en-US" w:eastAsia="zh-CN"/>
        </w:rPr>
        <w:t>政务服务和交易工作的调研、市州之间交流学习</w:t>
      </w:r>
      <w:r>
        <w:rPr>
          <w:rFonts w:hint="eastAsia" w:eastAsia="仿宋_GB2312" w:cs="仿宋_GB2312"/>
          <w:sz w:val="32"/>
          <w:szCs w:val="32"/>
        </w:rPr>
        <w:t>。</w:t>
      </w:r>
    </w:p>
    <w:p w14:paraId="4BD91A1D">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lang w:eastAsia="zh-CN"/>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w:t>
      </w:r>
      <w:bookmarkStart w:id="45" w:name="_Toc15377218"/>
      <w:bookmarkStart w:id="46" w:name="_Toc15396610"/>
      <w:r>
        <w:rPr>
          <w:rFonts w:hint="eastAsia" w:eastAsia="仿宋_GB2312" w:cs="仿宋_GB2312"/>
          <w:sz w:val="32"/>
          <w:szCs w:val="32"/>
        </w:rPr>
        <w:t>。</w:t>
      </w:r>
    </w:p>
    <w:p w14:paraId="7E464E93">
      <w:pPr>
        <w:pageBreakBefore w:val="0"/>
        <w:kinsoku/>
        <w:wordWrap/>
        <w:overflowPunct/>
        <w:topLinePunct w:val="0"/>
        <w:bidi w:val="0"/>
        <w:spacing w:line="600" w:lineRule="exact"/>
        <w:ind w:left="0" w:leftChars="0" w:firstLine="640"/>
        <w:textAlignment w:val="auto"/>
        <w:outlineLvl w:val="1"/>
        <w:rPr>
          <w:rStyle w:val="31"/>
          <w:rFonts w:ascii="Times New Roman" w:hAnsi="Times New Roman" w:eastAsia="黑体"/>
        </w:rPr>
      </w:pPr>
      <w:r>
        <w:rPr>
          <w:rFonts w:hint="eastAsia" w:eastAsia="黑体"/>
          <w:sz w:val="32"/>
          <w:szCs w:val="32"/>
        </w:rPr>
        <w:t>八、</w:t>
      </w:r>
      <w:r>
        <w:rPr>
          <w:rStyle w:val="31"/>
          <w:rFonts w:hint="eastAsia" w:ascii="Times New Roman" w:hAnsi="Times New Roman" w:eastAsia="黑体"/>
          <w:b w:val="0"/>
        </w:rPr>
        <w:t>政府性基金预算支出决算情况说明</w:t>
      </w:r>
      <w:bookmarkEnd w:id="45"/>
      <w:bookmarkEnd w:id="46"/>
    </w:p>
    <w:p w14:paraId="763374A4">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万元。与上年度相比，政府性基金预算财政拨款支出减少</w:t>
      </w:r>
      <w:r>
        <w:rPr>
          <w:rFonts w:hint="eastAsia" w:eastAsia="仿宋_GB2312" w:cs="仿宋_GB2312"/>
          <w:sz w:val="32"/>
          <w:szCs w:val="32"/>
          <w:lang w:val="en-US" w:eastAsia="zh-CN"/>
        </w:rPr>
        <w:t>120</w:t>
      </w:r>
      <w:r>
        <w:rPr>
          <w:rFonts w:hint="eastAsia" w:eastAsia="仿宋_GB2312" w:cs="仿宋_GB2312"/>
          <w:sz w:val="32"/>
          <w:szCs w:val="32"/>
        </w:rPr>
        <w:t>万元，下降</w:t>
      </w:r>
      <w:r>
        <w:rPr>
          <w:rFonts w:hint="eastAsia" w:eastAsia="仿宋_GB2312" w:cs="仿宋_GB2312"/>
          <w:sz w:val="32"/>
          <w:szCs w:val="32"/>
          <w:lang w:val="en-US" w:eastAsia="zh-CN"/>
        </w:rPr>
        <w:t>100</w:t>
      </w:r>
      <w:r>
        <w:rPr>
          <w:rFonts w:hint="eastAsia" w:eastAsia="仿宋_GB2312" w:cs="仿宋_GB2312"/>
          <w:sz w:val="32"/>
          <w:szCs w:val="32"/>
        </w:rPr>
        <w:t>%。主要变动原因是</w:t>
      </w:r>
      <w:r>
        <w:rPr>
          <w:rFonts w:hint="eastAsia" w:eastAsia="仿宋_GB2312" w:cs="仿宋_GB2312"/>
          <w:sz w:val="32"/>
          <w:szCs w:val="32"/>
          <w:lang w:val="en-US" w:eastAsia="zh-CN"/>
        </w:rPr>
        <w:t>2025年没有此项支出。</w:t>
      </w:r>
    </w:p>
    <w:p w14:paraId="6A197D19">
      <w:pPr>
        <w:pageBreakBefore w:val="0"/>
        <w:kinsoku/>
        <w:wordWrap/>
        <w:overflowPunct/>
        <w:topLinePunct w:val="0"/>
        <w:bidi w:val="0"/>
        <w:spacing w:line="600" w:lineRule="exact"/>
        <w:ind w:left="0" w:leftChars="0" w:firstLine="640" w:firstLineChars="200"/>
        <w:textAlignment w:val="auto"/>
        <w:outlineLvl w:val="1"/>
        <w:rPr>
          <w:rStyle w:val="31"/>
          <w:rFonts w:ascii="Times New Roman" w:hAnsi="Times New Roman" w:eastAsia="黑体"/>
          <w:b w:val="0"/>
        </w:rPr>
      </w:pPr>
      <w:bookmarkStart w:id="47" w:name="_Toc15377219"/>
      <w:bookmarkStart w:id="48" w:name="_Toc15396611"/>
      <w:r>
        <w:rPr>
          <w:rStyle w:val="31"/>
          <w:rFonts w:hint="eastAsia" w:ascii="Times New Roman" w:hAnsi="Times New Roman" w:eastAsia="黑体"/>
          <w:b w:val="0"/>
        </w:rPr>
        <w:t>九、国有资本经营预算支出决算情况说明</w:t>
      </w:r>
      <w:bookmarkEnd w:id="47"/>
      <w:bookmarkEnd w:id="48"/>
    </w:p>
    <w:p w14:paraId="7B7491F6">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w:t>
      </w:r>
      <w:r>
        <w:rPr>
          <w:rFonts w:hint="eastAsia" w:eastAsia="仿宋_GB2312" w:cs="仿宋_GB2312"/>
          <w:sz w:val="32"/>
          <w:szCs w:val="32"/>
          <w:lang w:eastAsia="zh-CN"/>
        </w:rPr>
        <w:t>，</w:t>
      </w:r>
      <w:r>
        <w:rPr>
          <w:rFonts w:hint="eastAsia" w:eastAsia="仿宋_GB2312" w:cs="仿宋_GB2312"/>
          <w:sz w:val="32"/>
          <w:szCs w:val="32"/>
          <w:lang w:val="en-US" w:eastAsia="zh-CN"/>
        </w:rPr>
        <w:t>与上年度持平。</w:t>
      </w:r>
    </w:p>
    <w:p w14:paraId="44B04963">
      <w:pPr>
        <w:pageBreakBefore w:val="0"/>
        <w:kinsoku/>
        <w:wordWrap/>
        <w:overflowPunct/>
        <w:topLinePunct w:val="0"/>
        <w:bidi w:val="0"/>
        <w:spacing w:line="600" w:lineRule="exact"/>
        <w:ind w:left="0" w:leftChars="0" w:firstLine="640" w:firstLineChars="200"/>
        <w:textAlignment w:val="auto"/>
        <w:outlineLvl w:val="1"/>
        <w:rPr>
          <w:rStyle w:val="31"/>
          <w:rFonts w:ascii="Times New Roman" w:hAnsi="Times New Roman" w:eastAsia="黑体"/>
          <w:b w:val="0"/>
        </w:rPr>
      </w:pPr>
      <w:bookmarkStart w:id="49" w:name="_Toc15377221"/>
      <w:bookmarkStart w:id="50" w:name="_Toc15396612"/>
      <w:r>
        <w:rPr>
          <w:rStyle w:val="31"/>
          <w:rFonts w:hint="eastAsia" w:ascii="Times New Roman" w:hAnsi="Times New Roman" w:eastAsia="黑体"/>
          <w:b w:val="0"/>
        </w:rPr>
        <w:t>十、其他重要事项的情况说明</w:t>
      </w:r>
      <w:bookmarkEnd w:id="49"/>
      <w:bookmarkEnd w:id="50"/>
    </w:p>
    <w:p w14:paraId="2F372E7B">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51" w:name="_Toc15377222"/>
      <w:r>
        <w:rPr>
          <w:rFonts w:hint="eastAsia" w:eastAsia="楷体_GB2312" w:cs="楷体_GB2312"/>
          <w:b/>
          <w:sz w:val="32"/>
          <w:szCs w:val="32"/>
        </w:rPr>
        <w:t>（一）机关运行经费支出情况</w:t>
      </w:r>
      <w:bookmarkEnd w:id="51"/>
    </w:p>
    <w:p w14:paraId="3FC8B457">
      <w:pPr>
        <w:pageBreakBefore w:val="0"/>
        <w:kinsoku/>
        <w:wordWrap/>
        <w:overflowPunct/>
        <w:topLinePunct w:val="0"/>
        <w:bidi w:val="0"/>
        <w:spacing w:line="600" w:lineRule="exact"/>
        <w:ind w:left="0" w:leftChars="0" w:firstLine="640"/>
        <w:textAlignment w:val="auto"/>
        <w:rPr>
          <w:rFonts w:hint="default" w:eastAsia="仿宋_GB2312" w:cs="仿宋_GB2312"/>
          <w:sz w:val="32"/>
          <w:szCs w:val="32"/>
          <w:lang w:val="en-US" w:eastAsia="zh-CN"/>
        </w:rPr>
      </w:pPr>
      <w:r>
        <w:rPr>
          <w:rFonts w:hint="eastAsia" w:eastAsia="仿宋_GB2312" w:cs="仿宋_GB2312"/>
          <w:sz w:val="32"/>
          <w:szCs w:val="32"/>
        </w:rPr>
        <w:t>2025年度，</w:t>
      </w:r>
      <w:r>
        <w:rPr>
          <w:rFonts w:hint="eastAsia" w:eastAsia="仿宋_GB2312" w:cs="仿宋_GB2312"/>
          <w:sz w:val="32"/>
          <w:szCs w:val="32"/>
          <w:lang w:val="en-US" w:eastAsia="zh-CN"/>
        </w:rPr>
        <w:t>攀枝花市政务服务管理局</w:t>
      </w:r>
      <w:r>
        <w:rPr>
          <w:rFonts w:hint="eastAsia" w:eastAsia="仿宋_GB2312" w:cs="仿宋_GB2312"/>
          <w:sz w:val="32"/>
          <w:szCs w:val="32"/>
        </w:rPr>
        <w:t>机关运行经费支出</w:t>
      </w:r>
      <w:r>
        <w:rPr>
          <w:rFonts w:hint="eastAsia" w:eastAsia="仿宋_GB2312" w:cs="仿宋_GB2312"/>
          <w:sz w:val="32"/>
          <w:szCs w:val="32"/>
          <w:lang w:val="en-US" w:eastAsia="zh-CN"/>
        </w:rPr>
        <w:t>34.79</w:t>
      </w:r>
      <w:r>
        <w:rPr>
          <w:rFonts w:hint="eastAsia" w:eastAsia="仿宋_GB2312" w:cs="仿宋_GB2312"/>
          <w:sz w:val="32"/>
          <w:szCs w:val="32"/>
        </w:rPr>
        <w:t>万元，比上年度</w:t>
      </w:r>
      <w:r>
        <w:rPr>
          <w:rFonts w:hint="eastAsia" w:eastAsia="仿宋_GB2312" w:cs="仿宋_GB2312"/>
          <w:sz w:val="32"/>
          <w:szCs w:val="32"/>
          <w:lang w:val="en-US" w:eastAsia="zh-CN"/>
        </w:rPr>
        <w:t>减少307.63</w:t>
      </w:r>
      <w:r>
        <w:rPr>
          <w:rFonts w:hint="eastAsia" w:eastAsia="仿宋_GB2312" w:cs="仿宋_GB2312"/>
          <w:sz w:val="32"/>
          <w:szCs w:val="32"/>
        </w:rPr>
        <w:t>万元，</w:t>
      </w:r>
      <w:r>
        <w:rPr>
          <w:rFonts w:hint="eastAsia" w:eastAsia="仿宋_GB2312" w:cs="仿宋_GB2312"/>
          <w:sz w:val="32"/>
          <w:szCs w:val="32"/>
          <w:lang w:val="en-US" w:eastAsia="zh-CN"/>
        </w:rPr>
        <w:t>下降89.84%，主要原因是减少了劳务费、办公费及办公室设备购置。</w:t>
      </w:r>
    </w:p>
    <w:p w14:paraId="308661B2">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52" w:name="_Toc15377223"/>
      <w:bookmarkStart w:id="74" w:name="_GoBack"/>
      <w:bookmarkEnd w:id="74"/>
      <w:r>
        <w:rPr>
          <w:rFonts w:hint="eastAsia" w:eastAsia="楷体_GB2312" w:cs="楷体_GB2312"/>
          <w:b/>
          <w:sz w:val="32"/>
          <w:szCs w:val="32"/>
        </w:rPr>
        <w:t>（二）政府采购支出情况</w:t>
      </w:r>
      <w:bookmarkEnd w:id="52"/>
    </w:p>
    <w:p w14:paraId="4B308BEF">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val="en-US" w:eastAsia="zh-CN"/>
        </w:rPr>
        <w:t>攀枝花市政务服务管理局</w:t>
      </w:r>
      <w:r>
        <w:rPr>
          <w:rFonts w:hint="eastAsia" w:eastAsia="仿宋_GB2312" w:cs="仿宋_GB2312"/>
          <w:sz w:val="32"/>
          <w:szCs w:val="32"/>
        </w:rPr>
        <w:t>政府采购支出总额</w:t>
      </w:r>
      <w:r>
        <w:rPr>
          <w:rFonts w:hint="eastAsia" w:eastAsia="仿宋_GB2312" w:cs="仿宋_GB2312"/>
          <w:sz w:val="32"/>
          <w:szCs w:val="32"/>
          <w:lang w:val="en-US" w:eastAsia="zh-CN"/>
        </w:rPr>
        <w:t>283.51</w:t>
      </w:r>
      <w:r>
        <w:rPr>
          <w:rFonts w:hint="eastAsia" w:eastAsia="仿宋_GB2312" w:cs="仿宋_GB2312"/>
          <w:sz w:val="32"/>
          <w:szCs w:val="32"/>
        </w:rPr>
        <w:t>万元，其中：政府采购货物支出</w:t>
      </w:r>
      <w:r>
        <w:rPr>
          <w:rFonts w:hint="eastAsia" w:eastAsia="仿宋_GB2312" w:cs="仿宋_GB2312"/>
          <w:sz w:val="32"/>
          <w:szCs w:val="32"/>
          <w:lang w:val="en-US" w:eastAsia="zh-CN"/>
        </w:rPr>
        <w:t>9.1</w:t>
      </w:r>
      <w:r>
        <w:rPr>
          <w:rFonts w:hint="eastAsia" w:eastAsia="仿宋_GB2312" w:cs="仿宋_GB2312"/>
          <w:sz w:val="32"/>
          <w:szCs w:val="32"/>
        </w:rPr>
        <w:t>万元、政府采购服务支出</w:t>
      </w:r>
      <w:r>
        <w:rPr>
          <w:rFonts w:hint="eastAsia" w:eastAsia="仿宋_GB2312" w:cs="仿宋_GB2312"/>
          <w:sz w:val="32"/>
          <w:szCs w:val="32"/>
          <w:lang w:val="en-US" w:eastAsia="zh-CN"/>
        </w:rPr>
        <w:t>274.41</w:t>
      </w:r>
      <w:r>
        <w:rPr>
          <w:rFonts w:hint="eastAsia" w:eastAsia="仿宋_GB2312" w:cs="仿宋_GB2312"/>
          <w:sz w:val="32"/>
          <w:szCs w:val="32"/>
        </w:rPr>
        <w:t>万元。主要用于</w:t>
      </w:r>
      <w:r>
        <w:rPr>
          <w:rFonts w:hint="eastAsia" w:eastAsia="仿宋_GB2312" w:cs="仿宋_GB2312"/>
          <w:sz w:val="32"/>
          <w:szCs w:val="32"/>
          <w:lang w:val="en-US" w:eastAsia="zh-CN"/>
        </w:rPr>
        <w:t>政务服务和公共资源交易辅助工作</w:t>
      </w:r>
      <w:r>
        <w:rPr>
          <w:rFonts w:hint="eastAsia" w:eastAsia="仿宋_GB2312" w:cs="仿宋_GB2312"/>
          <w:sz w:val="32"/>
          <w:szCs w:val="32"/>
        </w:rPr>
        <w:t>。授予中小企业合同金额</w:t>
      </w:r>
      <w:r>
        <w:rPr>
          <w:rFonts w:hint="eastAsia" w:eastAsia="仿宋_GB2312" w:cs="仿宋_GB2312"/>
          <w:sz w:val="32"/>
          <w:szCs w:val="32"/>
          <w:lang w:val="en-US" w:eastAsia="zh-CN"/>
        </w:rPr>
        <w:t>282.99</w:t>
      </w:r>
      <w:r>
        <w:rPr>
          <w:rFonts w:hint="eastAsia" w:eastAsia="仿宋_GB2312" w:cs="仿宋_GB2312"/>
          <w:sz w:val="32"/>
          <w:szCs w:val="32"/>
        </w:rPr>
        <w:t>万元，占政府采购支出总额的</w:t>
      </w:r>
      <w:r>
        <w:rPr>
          <w:rFonts w:hint="eastAsia" w:eastAsia="仿宋_GB2312" w:cs="仿宋_GB2312"/>
          <w:sz w:val="32"/>
          <w:szCs w:val="32"/>
          <w:lang w:val="en-US" w:eastAsia="zh-CN"/>
        </w:rPr>
        <w:t>99.82</w:t>
      </w:r>
      <w:r>
        <w:rPr>
          <w:rFonts w:hint="eastAsia" w:eastAsia="仿宋_GB2312" w:cs="仿宋_GB2312"/>
          <w:sz w:val="32"/>
          <w:szCs w:val="32"/>
        </w:rPr>
        <w:t>%，其中：授予小微企业合同金额</w:t>
      </w:r>
      <w:r>
        <w:rPr>
          <w:rFonts w:hint="eastAsia" w:eastAsia="仿宋_GB2312" w:cs="仿宋_GB2312"/>
          <w:sz w:val="32"/>
          <w:szCs w:val="32"/>
          <w:lang w:val="en-US" w:eastAsia="zh-CN"/>
        </w:rPr>
        <w:t>282.17</w:t>
      </w:r>
      <w:r>
        <w:rPr>
          <w:rFonts w:hint="eastAsia" w:eastAsia="仿宋_GB2312" w:cs="仿宋_GB2312"/>
          <w:sz w:val="32"/>
          <w:szCs w:val="32"/>
        </w:rPr>
        <w:t>万元，占政府采购支出总额的</w:t>
      </w:r>
      <w:r>
        <w:rPr>
          <w:rFonts w:hint="eastAsia" w:eastAsia="仿宋_GB2312" w:cs="仿宋_GB2312"/>
          <w:sz w:val="32"/>
          <w:szCs w:val="32"/>
          <w:lang w:val="en-US" w:eastAsia="zh-CN"/>
        </w:rPr>
        <w:t>99.53</w:t>
      </w:r>
      <w:r>
        <w:rPr>
          <w:rFonts w:hint="eastAsia" w:eastAsia="仿宋_GB2312" w:cs="仿宋_GB2312"/>
          <w:sz w:val="32"/>
          <w:szCs w:val="32"/>
        </w:rPr>
        <w:t>%。</w:t>
      </w:r>
    </w:p>
    <w:p w14:paraId="6B565E66">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53" w:name="_Toc15377224"/>
      <w:r>
        <w:rPr>
          <w:rFonts w:hint="eastAsia" w:eastAsia="楷体_GB2312" w:cs="楷体_GB2312"/>
          <w:b/>
          <w:sz w:val="32"/>
          <w:szCs w:val="32"/>
        </w:rPr>
        <w:t>（三）国有资产占有使用情况</w:t>
      </w:r>
      <w:bookmarkEnd w:id="53"/>
    </w:p>
    <w:p w14:paraId="208386B1">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截至2025年12月31日，</w:t>
      </w:r>
      <w:r>
        <w:rPr>
          <w:rFonts w:hint="eastAsia" w:eastAsia="仿宋_GB2312" w:cs="仿宋_GB2312"/>
          <w:sz w:val="32"/>
          <w:szCs w:val="32"/>
          <w:lang w:val="en-US" w:eastAsia="zh-CN"/>
        </w:rPr>
        <w:t>攀枝花市政务服务管理局</w:t>
      </w:r>
      <w:r>
        <w:rPr>
          <w:rFonts w:hint="eastAsia" w:eastAsia="仿宋_GB2312" w:cs="仿宋_GB2312"/>
          <w:sz w:val="32"/>
          <w:szCs w:val="32"/>
        </w:rPr>
        <w:t>共有车辆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辆，其中：主要负责人用车0辆、机要通信用车0辆、应急保障用车0辆、其他用车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辆，其他用车主要是用于</w:t>
      </w:r>
      <w:r>
        <w:rPr>
          <w:rFonts w:hint="eastAsia" w:ascii="仿宋_GB2312" w:hAnsi="仿宋_GB2312" w:eastAsia="仿宋_GB2312" w:cs="仿宋_GB2312"/>
          <w:sz w:val="32"/>
          <w:szCs w:val="32"/>
          <w:lang w:val="en-US" w:eastAsia="zh-CN"/>
        </w:rPr>
        <w:t>政务服务和公共资源交易等工作</w:t>
      </w:r>
      <w:r>
        <w:rPr>
          <w:rFonts w:hint="eastAsia" w:ascii="仿宋_GB2312" w:hAnsi="仿宋_GB2312" w:eastAsia="仿宋_GB2312" w:cs="仿宋_GB2312"/>
          <w:sz w:val="32"/>
          <w:szCs w:val="32"/>
        </w:rPr>
        <w:t>。单价100万元（含）以上设备（不含车辆）0台（套）</w:t>
      </w:r>
      <w:r>
        <w:rPr>
          <w:rFonts w:hint="eastAsia" w:eastAsia="仿宋_GB2312" w:cs="仿宋_GB2312"/>
          <w:sz w:val="32"/>
          <w:szCs w:val="32"/>
        </w:rPr>
        <w:t>。</w:t>
      </w:r>
    </w:p>
    <w:p w14:paraId="7717E7DC">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r>
        <w:rPr>
          <w:rFonts w:hint="eastAsia" w:eastAsia="楷体_GB2312" w:cs="楷体_GB2312"/>
          <w:b/>
          <w:sz w:val="32"/>
          <w:szCs w:val="32"/>
        </w:rPr>
        <w:t>（四）预算绩效管理情况</w:t>
      </w:r>
    </w:p>
    <w:p w14:paraId="31C5642B">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val="en-US" w:eastAsia="zh-CN"/>
        </w:rPr>
        <w:t>攀枝花市政务服务管理局</w:t>
      </w:r>
      <w:r>
        <w:rPr>
          <w:rFonts w:hint="eastAsia" w:eastAsia="仿宋_GB2312" w:cs="仿宋_GB2312"/>
          <w:sz w:val="32"/>
          <w:szCs w:val="32"/>
        </w:rPr>
        <w:t>在2025年度，组织对</w:t>
      </w:r>
      <w:r>
        <w:rPr>
          <w:rFonts w:hint="eastAsia" w:eastAsia="仿宋_GB2312" w:cs="仿宋_GB2312"/>
          <w:sz w:val="32"/>
          <w:szCs w:val="32"/>
          <w:lang w:val="en-US" w:eastAsia="zh-CN"/>
        </w:rPr>
        <w:t>大厅运行维护</w:t>
      </w:r>
      <w:r>
        <w:rPr>
          <w:rFonts w:hint="eastAsia" w:eastAsia="仿宋_GB2312" w:cs="仿宋_GB2312"/>
          <w:sz w:val="32"/>
          <w:szCs w:val="32"/>
        </w:rPr>
        <w:t>等</w:t>
      </w:r>
      <w:r>
        <w:rPr>
          <w:rFonts w:hint="eastAsia" w:eastAsia="仿宋_GB2312" w:cs="仿宋_GB2312"/>
          <w:sz w:val="32"/>
          <w:szCs w:val="32"/>
          <w:lang w:val="en-US" w:eastAsia="zh-CN"/>
        </w:rPr>
        <w:t>10</w:t>
      </w:r>
      <w:r>
        <w:rPr>
          <w:rFonts w:hint="eastAsia" w:eastAsia="仿宋_GB2312" w:cs="仿宋_GB2312"/>
          <w:sz w:val="32"/>
          <w:szCs w:val="32"/>
        </w:rPr>
        <w:t>个项目涉及金额575.63万元开展了事前绩效评估，对</w:t>
      </w:r>
      <w:r>
        <w:rPr>
          <w:rFonts w:hint="eastAsia" w:eastAsia="仿宋_GB2312" w:cs="仿宋_GB2312"/>
          <w:sz w:val="32"/>
          <w:szCs w:val="32"/>
          <w:lang w:val="en-US" w:eastAsia="zh-CN"/>
        </w:rPr>
        <w:t>10</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10</w:t>
      </w:r>
      <w:r>
        <w:rPr>
          <w:rFonts w:hint="eastAsia" w:eastAsia="仿宋_GB2312" w:cs="仿宋_GB2312"/>
          <w:sz w:val="32"/>
          <w:szCs w:val="32"/>
        </w:rPr>
        <w:t>个项目开展绩效监控。</w:t>
      </w:r>
    </w:p>
    <w:p w14:paraId="39C90C0A">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组织对2025年度一般公共预算形成</w:t>
      </w:r>
      <w:r>
        <w:rPr>
          <w:rFonts w:hint="eastAsia" w:eastAsia="仿宋_GB2312" w:cs="仿宋_GB2312"/>
          <w:sz w:val="32"/>
          <w:szCs w:val="32"/>
          <w:lang w:val="en-US" w:eastAsia="zh-CN"/>
        </w:rPr>
        <w:t>攀枝花市政务服务管理局</w:t>
      </w:r>
      <w:r>
        <w:rPr>
          <w:rFonts w:hint="eastAsia" w:eastAsia="仿宋_GB2312" w:cs="仿宋_GB2312"/>
          <w:sz w:val="32"/>
          <w:szCs w:val="32"/>
        </w:rPr>
        <w:t>部门预算绩效自评报告。绩效自评报告详见附件。</w:t>
      </w:r>
    </w:p>
    <w:p w14:paraId="4095C823">
      <w:pPr>
        <w:pageBreakBefore w:val="0"/>
        <w:kinsoku/>
        <w:wordWrap/>
        <w:overflowPunct/>
        <w:topLinePunct w:val="0"/>
        <w:bidi w:val="0"/>
        <w:spacing w:line="600" w:lineRule="exact"/>
        <w:ind w:left="0" w:leftChars="0"/>
        <w:jc w:val="center"/>
        <w:textAlignment w:val="auto"/>
        <w:outlineLvl w:val="0"/>
        <w:rPr>
          <w:rFonts w:hint="eastAsia" w:eastAsia="黑体"/>
          <w:sz w:val="44"/>
          <w:szCs w:val="44"/>
        </w:rPr>
      </w:pPr>
      <w:bookmarkStart w:id="54" w:name="_Toc15396613"/>
      <w:bookmarkStart w:id="55" w:name="_Toc15377225"/>
    </w:p>
    <w:p w14:paraId="68C7647A">
      <w:pPr>
        <w:pageBreakBefore w:val="0"/>
        <w:kinsoku/>
        <w:wordWrap/>
        <w:overflowPunct/>
        <w:topLinePunct w:val="0"/>
        <w:bidi w:val="0"/>
        <w:spacing w:line="600" w:lineRule="exact"/>
        <w:ind w:left="0" w:leftChars="0"/>
        <w:jc w:val="center"/>
        <w:textAlignment w:val="auto"/>
        <w:outlineLvl w:val="0"/>
        <w:rPr>
          <w:rFonts w:hint="eastAsia" w:eastAsia="黑体"/>
          <w:sz w:val="44"/>
          <w:szCs w:val="44"/>
        </w:rPr>
      </w:pPr>
    </w:p>
    <w:p w14:paraId="337581B8">
      <w:pPr>
        <w:pageBreakBefore w:val="0"/>
        <w:kinsoku/>
        <w:wordWrap/>
        <w:overflowPunct/>
        <w:topLinePunct w:val="0"/>
        <w:bidi w:val="0"/>
        <w:spacing w:line="600" w:lineRule="exact"/>
        <w:ind w:left="0" w:leftChars="0"/>
        <w:jc w:val="center"/>
        <w:textAlignment w:val="auto"/>
        <w:outlineLvl w:val="0"/>
        <w:rPr>
          <w:rFonts w:hint="eastAsia" w:eastAsia="黑体"/>
          <w:sz w:val="44"/>
          <w:szCs w:val="44"/>
        </w:rPr>
      </w:pPr>
    </w:p>
    <w:p w14:paraId="55A23960">
      <w:pPr>
        <w:pageBreakBefore w:val="0"/>
        <w:kinsoku/>
        <w:wordWrap/>
        <w:overflowPunct/>
        <w:topLinePunct w:val="0"/>
        <w:bidi w:val="0"/>
        <w:spacing w:line="600" w:lineRule="exact"/>
        <w:ind w:left="0" w:leftChars="0"/>
        <w:jc w:val="center"/>
        <w:textAlignment w:val="auto"/>
        <w:outlineLvl w:val="0"/>
        <w:rPr>
          <w:rFonts w:hint="eastAsia" w:eastAsia="黑体"/>
          <w:sz w:val="44"/>
          <w:szCs w:val="44"/>
        </w:rPr>
      </w:pPr>
    </w:p>
    <w:p w14:paraId="634D3483">
      <w:pPr>
        <w:pageBreakBefore w:val="0"/>
        <w:kinsoku/>
        <w:wordWrap/>
        <w:overflowPunct/>
        <w:topLinePunct w:val="0"/>
        <w:bidi w:val="0"/>
        <w:spacing w:line="600" w:lineRule="exact"/>
        <w:ind w:left="0" w:leftChars="0"/>
        <w:jc w:val="center"/>
        <w:textAlignment w:val="auto"/>
        <w:outlineLvl w:val="0"/>
        <w:rPr>
          <w:rFonts w:hint="eastAsia" w:eastAsia="黑体"/>
          <w:sz w:val="44"/>
          <w:szCs w:val="44"/>
        </w:rPr>
      </w:pPr>
    </w:p>
    <w:p w14:paraId="7029C383">
      <w:pPr>
        <w:pageBreakBefore w:val="0"/>
        <w:kinsoku/>
        <w:wordWrap/>
        <w:overflowPunct/>
        <w:topLinePunct w:val="0"/>
        <w:bidi w:val="0"/>
        <w:spacing w:line="600" w:lineRule="exact"/>
        <w:ind w:left="0" w:leftChars="0"/>
        <w:jc w:val="center"/>
        <w:textAlignment w:val="auto"/>
        <w:outlineLvl w:val="0"/>
        <w:rPr>
          <w:rFonts w:hint="eastAsia" w:eastAsia="黑体"/>
          <w:sz w:val="44"/>
          <w:szCs w:val="44"/>
        </w:rPr>
      </w:pPr>
    </w:p>
    <w:p w14:paraId="1880BCA4">
      <w:pPr>
        <w:pageBreakBefore w:val="0"/>
        <w:kinsoku/>
        <w:wordWrap/>
        <w:overflowPunct/>
        <w:topLinePunct w:val="0"/>
        <w:bidi w:val="0"/>
        <w:spacing w:line="600" w:lineRule="exact"/>
        <w:ind w:left="0" w:leftChars="0"/>
        <w:jc w:val="center"/>
        <w:textAlignment w:val="auto"/>
        <w:outlineLvl w:val="0"/>
        <w:rPr>
          <w:rFonts w:hint="eastAsia" w:eastAsia="黑体"/>
          <w:sz w:val="44"/>
          <w:szCs w:val="44"/>
        </w:rPr>
      </w:pPr>
    </w:p>
    <w:p w14:paraId="5DFECCF1">
      <w:pPr>
        <w:pStyle w:val="2"/>
        <w:pageBreakBefore w:val="0"/>
        <w:kinsoku/>
        <w:wordWrap/>
        <w:overflowPunct/>
        <w:topLinePunct w:val="0"/>
        <w:bidi w:val="0"/>
        <w:spacing w:beforeLines="0"/>
        <w:ind w:left="0" w:leftChars="0"/>
        <w:textAlignment w:val="auto"/>
        <w:rPr>
          <w:rFonts w:hint="eastAsia" w:eastAsia="黑体"/>
          <w:sz w:val="44"/>
          <w:szCs w:val="44"/>
        </w:rPr>
      </w:pPr>
    </w:p>
    <w:p w14:paraId="66DF4CF9">
      <w:pPr>
        <w:pStyle w:val="2"/>
        <w:pageBreakBefore w:val="0"/>
        <w:kinsoku/>
        <w:wordWrap/>
        <w:overflowPunct/>
        <w:topLinePunct w:val="0"/>
        <w:bidi w:val="0"/>
        <w:spacing w:beforeLines="0"/>
        <w:ind w:left="0" w:leftChars="0"/>
        <w:textAlignment w:val="auto"/>
        <w:rPr>
          <w:rFonts w:hint="eastAsia" w:eastAsia="黑体"/>
          <w:sz w:val="44"/>
          <w:szCs w:val="44"/>
        </w:rPr>
      </w:pPr>
    </w:p>
    <w:p w14:paraId="728BE067">
      <w:pPr>
        <w:pStyle w:val="2"/>
        <w:pageBreakBefore w:val="0"/>
        <w:kinsoku/>
        <w:wordWrap/>
        <w:overflowPunct/>
        <w:topLinePunct w:val="0"/>
        <w:bidi w:val="0"/>
        <w:spacing w:beforeLines="0"/>
        <w:ind w:left="0" w:leftChars="0"/>
        <w:textAlignment w:val="auto"/>
        <w:rPr>
          <w:rFonts w:hint="eastAsia" w:eastAsia="黑体"/>
          <w:sz w:val="44"/>
          <w:szCs w:val="44"/>
        </w:rPr>
      </w:pPr>
    </w:p>
    <w:p w14:paraId="083E804E">
      <w:pPr>
        <w:pStyle w:val="2"/>
        <w:pageBreakBefore w:val="0"/>
        <w:kinsoku/>
        <w:wordWrap/>
        <w:overflowPunct/>
        <w:topLinePunct w:val="0"/>
        <w:bidi w:val="0"/>
        <w:spacing w:beforeLines="0"/>
        <w:ind w:left="0" w:leftChars="0"/>
        <w:textAlignment w:val="auto"/>
        <w:rPr>
          <w:rFonts w:hint="eastAsia" w:eastAsia="黑体"/>
          <w:sz w:val="44"/>
          <w:szCs w:val="44"/>
        </w:rPr>
      </w:pPr>
    </w:p>
    <w:p w14:paraId="3FF95167">
      <w:pPr>
        <w:pStyle w:val="2"/>
        <w:pageBreakBefore w:val="0"/>
        <w:kinsoku/>
        <w:wordWrap/>
        <w:overflowPunct/>
        <w:topLinePunct w:val="0"/>
        <w:bidi w:val="0"/>
        <w:spacing w:beforeLines="0"/>
        <w:ind w:left="0" w:leftChars="0"/>
        <w:textAlignment w:val="auto"/>
        <w:rPr>
          <w:rFonts w:hint="eastAsia" w:eastAsia="黑体"/>
          <w:sz w:val="44"/>
          <w:szCs w:val="44"/>
        </w:rPr>
      </w:pPr>
    </w:p>
    <w:p w14:paraId="60793BCE">
      <w:pPr>
        <w:pStyle w:val="2"/>
        <w:pageBreakBefore w:val="0"/>
        <w:kinsoku/>
        <w:wordWrap/>
        <w:overflowPunct/>
        <w:topLinePunct w:val="0"/>
        <w:bidi w:val="0"/>
        <w:spacing w:beforeLines="0"/>
        <w:ind w:left="0" w:leftChars="0"/>
        <w:textAlignment w:val="auto"/>
        <w:rPr>
          <w:rFonts w:hint="eastAsia" w:eastAsia="黑体"/>
          <w:sz w:val="44"/>
          <w:szCs w:val="44"/>
        </w:rPr>
      </w:pPr>
    </w:p>
    <w:p w14:paraId="2E165AFF">
      <w:pPr>
        <w:pStyle w:val="2"/>
        <w:pageBreakBefore w:val="0"/>
        <w:kinsoku/>
        <w:wordWrap/>
        <w:overflowPunct/>
        <w:topLinePunct w:val="0"/>
        <w:bidi w:val="0"/>
        <w:spacing w:beforeLines="0"/>
        <w:ind w:left="0" w:leftChars="0"/>
        <w:textAlignment w:val="auto"/>
        <w:rPr>
          <w:rFonts w:hint="eastAsia" w:eastAsia="黑体"/>
          <w:sz w:val="44"/>
          <w:szCs w:val="44"/>
        </w:rPr>
      </w:pPr>
    </w:p>
    <w:p w14:paraId="7FA660DE">
      <w:pPr>
        <w:pageBreakBefore w:val="0"/>
        <w:kinsoku/>
        <w:wordWrap/>
        <w:overflowPunct/>
        <w:topLinePunct w:val="0"/>
        <w:bidi w:val="0"/>
        <w:spacing w:line="600" w:lineRule="exact"/>
        <w:ind w:left="0" w:leftChars="0"/>
        <w:jc w:val="center"/>
        <w:textAlignment w:val="auto"/>
        <w:outlineLvl w:val="0"/>
        <w:rPr>
          <w:rFonts w:eastAsia="黑体"/>
          <w:sz w:val="44"/>
          <w:szCs w:val="44"/>
        </w:rPr>
      </w:pPr>
      <w:r>
        <w:rPr>
          <w:rFonts w:hint="eastAsia" w:eastAsia="黑体"/>
          <w:sz w:val="44"/>
          <w:szCs w:val="44"/>
        </w:rPr>
        <w:t>第三部分  名词解释</w:t>
      </w:r>
      <w:bookmarkEnd w:id="54"/>
      <w:bookmarkEnd w:id="55"/>
    </w:p>
    <w:p w14:paraId="44F91EE0">
      <w:pPr>
        <w:pageBreakBefore w:val="0"/>
        <w:kinsoku/>
        <w:wordWrap/>
        <w:overflowPunct/>
        <w:topLinePunct w:val="0"/>
        <w:bidi w:val="0"/>
        <w:spacing w:line="600" w:lineRule="exact"/>
        <w:ind w:left="0" w:leftChars="0"/>
        <w:jc w:val="left"/>
        <w:textAlignment w:val="auto"/>
        <w:rPr>
          <w:b/>
          <w:sz w:val="44"/>
          <w:szCs w:val="44"/>
        </w:rPr>
      </w:pPr>
    </w:p>
    <w:p w14:paraId="46FC6336">
      <w:pPr>
        <w:pStyle w:val="28"/>
        <w:pageBreakBefore w:val="0"/>
        <w:kinsoku/>
        <w:wordWrap/>
        <w:overflowPunct/>
        <w:topLinePunct w:val="0"/>
        <w:bidi w:val="0"/>
        <w:spacing w:line="560" w:lineRule="exact"/>
        <w:ind w:left="0" w:leftChars="0"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14:paraId="7D9B1345">
      <w:pPr>
        <w:pageBreakBefore w:val="0"/>
        <w:kinsoku/>
        <w:wordWrap/>
        <w:overflowPunct/>
        <w:topLinePunct w:val="0"/>
        <w:bidi w:val="0"/>
        <w:ind w:left="0" w:leftChars="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（类）03（款）01（项）：指行政单位（包括实行公务员管理的事业单位）的基本支出。</w:t>
      </w:r>
    </w:p>
    <w:p w14:paraId="518460A9">
      <w:pPr>
        <w:pageBreakBefore w:val="0"/>
        <w:kinsoku/>
        <w:wordWrap/>
        <w:overflowPunct/>
        <w:topLinePunct w:val="0"/>
        <w:bidi w:val="0"/>
        <w:ind w:left="0" w:leftChars="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3.一般公共服务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（类）03（款）02（项）：指行政单位（包括实行公务员管理的事业单位）提供未单独设置项级科目的其他项目支出。</w:t>
      </w:r>
    </w:p>
    <w:p w14:paraId="21EFB421">
      <w:pPr>
        <w:pageBreakBefore w:val="0"/>
        <w:kinsoku/>
        <w:wordWrap/>
        <w:overflowPunct/>
        <w:topLinePunct w:val="0"/>
        <w:bidi w:val="0"/>
        <w:ind w:left="0" w:leftChars="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4.一般公共服务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（类）03（款）50（项）：指事业单位的基本支出，不包括行政单位（包括实行公务员管理的事业单位）后勤服务中心、医务室等附属事业单位。</w:t>
      </w:r>
    </w:p>
    <w:p w14:paraId="0A229985">
      <w:pPr>
        <w:pStyle w:val="2"/>
        <w:pageBreakBefore w:val="0"/>
        <w:kinsoku/>
        <w:wordWrap/>
        <w:overflowPunct/>
        <w:topLinePunct w:val="0"/>
        <w:bidi w:val="0"/>
        <w:spacing w:beforeLines="0"/>
        <w:ind w:left="0" w:leftChars="0"/>
        <w:textAlignment w:val="auto"/>
        <w:rPr>
          <w:rFonts w:hint="default" w:ascii="仿宋_GB2312" w:hAnsi="Times New Roman" w:eastAsia="仿宋_GB2312" w:cs="Times New Roman"/>
          <w:color w:val="000000"/>
          <w:kern w:val="2"/>
          <w:sz w:val="32"/>
          <w:szCs w:val="32"/>
          <w:lang w:val="en-US" w:eastAsia="zh-CN" w:bidi="ar-SA"/>
        </w:rPr>
      </w:pPr>
      <w:r>
        <w:rPr>
          <w:rFonts w:hint="eastAsia"/>
          <w:color w:val="000000"/>
          <w:sz w:val="32"/>
          <w:szCs w:val="32"/>
          <w:lang w:val="en-US" w:eastAsia="zh-CN"/>
        </w:rPr>
        <w:t xml:space="preserve">   </w:t>
      </w:r>
      <w:r>
        <w:rPr>
          <w:rFonts w:hint="eastAsia" w:ascii="仿宋_GB2312" w:hAnsi="Times New Roman" w:eastAsia="仿宋_GB2312" w:cs="Times New Roman"/>
          <w:color w:val="000000"/>
          <w:kern w:val="2"/>
          <w:sz w:val="32"/>
          <w:szCs w:val="32"/>
          <w:lang w:val="en-US" w:eastAsia="zh-CN" w:bidi="ar-SA"/>
        </w:rPr>
        <w:t>5.一般公共服务201（类）32（款）99（项）：指其他用于中国共产党组织部门的事务支出</w:t>
      </w:r>
    </w:p>
    <w:p w14:paraId="0A7F4165">
      <w:pPr>
        <w:pageBreakBefore w:val="0"/>
        <w:kinsoku/>
        <w:wordWrap/>
        <w:overflowPunct/>
        <w:topLinePunct w:val="0"/>
        <w:bidi w:val="0"/>
        <w:ind w:left="0" w:leftChars="0" w:firstLine="640" w:firstLineChars="200"/>
        <w:textAlignment w:val="auto"/>
        <w:rPr>
          <w:rFonts w:hint="eastAsia" w:ascii="仿宋_GB2312" w:eastAsia="仿宋_GB2312" w:cs="Times New Roman"/>
          <w:color w:val="000000"/>
          <w:sz w:val="32"/>
          <w:szCs w:val="32"/>
        </w:rPr>
      </w:pPr>
      <w:r>
        <w:rPr>
          <w:rFonts w:hint="eastAsia" w:ascii="仿宋_GB2312" w:eastAsia="仿宋_GB2312" w:cs="Times New Roman"/>
          <w:color w:val="000000"/>
          <w:sz w:val="32"/>
          <w:szCs w:val="32"/>
          <w:lang w:val="en-US" w:eastAsia="zh-CN"/>
        </w:rPr>
        <w:t>6</w:t>
      </w:r>
      <w:r>
        <w:rPr>
          <w:rFonts w:hint="eastAsia" w:ascii="仿宋_GB2312" w:eastAsia="仿宋_GB2312" w:cs="Times New Roman"/>
          <w:color w:val="000000"/>
          <w:sz w:val="32"/>
          <w:szCs w:val="32"/>
        </w:rPr>
        <w:t>.卫生健康</w:t>
      </w:r>
      <w:r>
        <w:rPr>
          <w:rFonts w:hint="eastAsia" w:ascii="仿宋_GB2312" w:eastAsia="仿宋_GB2312" w:cs="Times New Roman"/>
          <w:color w:val="000000"/>
          <w:sz w:val="32"/>
          <w:szCs w:val="32"/>
          <w:lang w:val="en-US" w:eastAsia="zh-CN"/>
        </w:rPr>
        <w:t>210</w:t>
      </w:r>
      <w:r>
        <w:rPr>
          <w:rFonts w:hint="eastAsia" w:ascii="仿宋_GB2312" w:eastAsia="仿宋_GB2312" w:cs="Times New Roman"/>
          <w:color w:val="000000"/>
          <w:sz w:val="32"/>
          <w:szCs w:val="32"/>
        </w:rPr>
        <w:t>（类）</w:t>
      </w:r>
      <w:r>
        <w:rPr>
          <w:rFonts w:hint="eastAsia" w:ascii="仿宋_GB2312" w:eastAsia="仿宋_GB2312" w:cs="Times New Roman"/>
          <w:color w:val="000000"/>
          <w:sz w:val="32"/>
          <w:szCs w:val="32"/>
          <w:lang w:val="en-US" w:eastAsia="zh-CN"/>
        </w:rPr>
        <w:t>11</w:t>
      </w:r>
      <w:r>
        <w:rPr>
          <w:rFonts w:hint="eastAsia" w:ascii="仿宋_GB2312" w:eastAsia="仿宋_GB2312" w:cs="Times New Roman"/>
          <w:color w:val="000000"/>
          <w:sz w:val="32"/>
          <w:szCs w:val="32"/>
        </w:rPr>
        <w:t>（款）</w:t>
      </w:r>
      <w:r>
        <w:rPr>
          <w:rFonts w:hint="eastAsia" w:ascii="仿宋_GB2312" w:eastAsia="仿宋_GB2312" w:cs="Times New Roman"/>
          <w:color w:val="000000"/>
          <w:sz w:val="32"/>
          <w:szCs w:val="32"/>
          <w:lang w:val="en-US" w:eastAsia="zh-CN"/>
        </w:rPr>
        <w:t>01</w:t>
      </w:r>
      <w:r>
        <w:rPr>
          <w:rFonts w:hint="eastAsia" w:ascii="仿宋_GB2312" w:eastAsia="仿宋_GB2312" w:cs="Times New Roman"/>
          <w:color w:val="000000"/>
          <w:sz w:val="32"/>
          <w:szCs w:val="32"/>
        </w:rPr>
        <w:t>（项）：指行政单位医疗</w:t>
      </w:r>
      <w:r>
        <w:rPr>
          <w:rFonts w:hint="eastAsia" w:ascii="仿宋_GB2312" w:eastAsia="仿宋_GB2312" w:cs="Times New Roman"/>
          <w:color w:val="000000"/>
          <w:sz w:val="32"/>
          <w:szCs w:val="32"/>
          <w:lang w:val="en-US" w:eastAsia="zh-CN"/>
        </w:rPr>
        <w:t>支出</w:t>
      </w:r>
      <w:r>
        <w:rPr>
          <w:rFonts w:hint="eastAsia" w:ascii="仿宋_GB2312" w:eastAsia="仿宋_GB2312" w:cs="Times New Roman"/>
          <w:color w:val="000000"/>
          <w:sz w:val="32"/>
          <w:szCs w:val="32"/>
        </w:rPr>
        <w:t>。</w:t>
      </w:r>
    </w:p>
    <w:p w14:paraId="7DC29410">
      <w:pPr>
        <w:pageBreakBefore w:val="0"/>
        <w:kinsoku/>
        <w:wordWrap/>
        <w:overflowPunct/>
        <w:topLinePunct w:val="0"/>
        <w:bidi w:val="0"/>
        <w:ind w:left="0" w:leftChars="0" w:firstLine="640" w:firstLineChars="200"/>
        <w:textAlignment w:val="auto"/>
        <w:rPr>
          <w:rFonts w:hint="eastAsia" w:ascii="仿宋_GB2312" w:eastAsia="仿宋_GB2312" w:cs="Times New Roman"/>
          <w:color w:val="000000"/>
          <w:sz w:val="32"/>
          <w:szCs w:val="32"/>
        </w:rPr>
      </w:pPr>
      <w:r>
        <w:rPr>
          <w:rFonts w:hint="eastAsia" w:ascii="仿宋_GB2312" w:eastAsia="仿宋_GB2312" w:cs="Times New Roman"/>
          <w:color w:val="000000"/>
          <w:sz w:val="32"/>
          <w:szCs w:val="32"/>
          <w:lang w:val="en-US" w:eastAsia="zh-CN"/>
        </w:rPr>
        <w:t>7</w:t>
      </w:r>
      <w:r>
        <w:rPr>
          <w:rFonts w:hint="eastAsia" w:ascii="仿宋_GB2312" w:eastAsia="仿宋_GB2312" w:cs="Times New Roman"/>
          <w:color w:val="000000"/>
          <w:sz w:val="32"/>
          <w:szCs w:val="32"/>
        </w:rPr>
        <w:t>. 卫生健康</w:t>
      </w:r>
      <w:r>
        <w:rPr>
          <w:rFonts w:hint="eastAsia" w:ascii="仿宋_GB2312" w:eastAsia="仿宋_GB2312" w:cs="Times New Roman"/>
          <w:color w:val="000000"/>
          <w:sz w:val="32"/>
          <w:szCs w:val="32"/>
          <w:lang w:val="en-US" w:eastAsia="zh-CN"/>
        </w:rPr>
        <w:t>210</w:t>
      </w:r>
      <w:r>
        <w:rPr>
          <w:rFonts w:hint="eastAsia" w:ascii="仿宋_GB2312" w:eastAsia="仿宋_GB2312" w:cs="Times New Roman"/>
          <w:color w:val="000000"/>
          <w:sz w:val="32"/>
          <w:szCs w:val="32"/>
        </w:rPr>
        <w:t>（类）</w:t>
      </w:r>
      <w:r>
        <w:rPr>
          <w:rFonts w:hint="eastAsia" w:ascii="仿宋_GB2312" w:eastAsia="仿宋_GB2312" w:cs="Times New Roman"/>
          <w:color w:val="000000"/>
          <w:sz w:val="32"/>
          <w:szCs w:val="32"/>
          <w:lang w:val="en-US" w:eastAsia="zh-CN"/>
        </w:rPr>
        <w:t>11</w:t>
      </w:r>
      <w:r>
        <w:rPr>
          <w:rFonts w:hint="eastAsia" w:ascii="仿宋_GB2312" w:eastAsia="仿宋_GB2312" w:cs="Times New Roman"/>
          <w:color w:val="000000"/>
          <w:sz w:val="32"/>
          <w:szCs w:val="32"/>
        </w:rPr>
        <w:t>（款）</w:t>
      </w:r>
      <w:r>
        <w:rPr>
          <w:rFonts w:hint="eastAsia" w:ascii="仿宋_GB2312" w:eastAsia="仿宋_GB2312" w:cs="Times New Roman"/>
          <w:color w:val="000000"/>
          <w:sz w:val="32"/>
          <w:szCs w:val="32"/>
          <w:lang w:val="en-US" w:eastAsia="zh-CN"/>
        </w:rPr>
        <w:t>02</w:t>
      </w:r>
      <w:r>
        <w:rPr>
          <w:rFonts w:hint="eastAsia" w:ascii="仿宋_GB2312" w:eastAsia="仿宋_GB2312" w:cs="Times New Roman"/>
          <w:color w:val="000000"/>
          <w:sz w:val="32"/>
          <w:szCs w:val="32"/>
        </w:rPr>
        <w:t>（项）：指</w:t>
      </w:r>
      <w:r>
        <w:rPr>
          <w:rFonts w:hint="eastAsia" w:ascii="仿宋_GB2312" w:eastAsia="仿宋_GB2312" w:cs="Times New Roman"/>
          <w:color w:val="000000"/>
          <w:sz w:val="32"/>
          <w:szCs w:val="32"/>
          <w:lang w:val="en-US" w:eastAsia="zh-CN"/>
        </w:rPr>
        <w:t>事业</w:t>
      </w:r>
      <w:r>
        <w:rPr>
          <w:rFonts w:hint="eastAsia" w:ascii="仿宋_GB2312" w:eastAsia="仿宋_GB2312" w:cs="Times New Roman"/>
          <w:color w:val="000000"/>
          <w:sz w:val="32"/>
          <w:szCs w:val="32"/>
        </w:rPr>
        <w:t>单位医疗</w:t>
      </w:r>
      <w:r>
        <w:rPr>
          <w:rFonts w:hint="eastAsia" w:ascii="仿宋_GB2312" w:eastAsia="仿宋_GB2312" w:cs="Times New Roman"/>
          <w:color w:val="000000"/>
          <w:sz w:val="32"/>
          <w:szCs w:val="32"/>
          <w:lang w:val="en-US" w:eastAsia="zh-CN"/>
        </w:rPr>
        <w:t>支出</w:t>
      </w:r>
      <w:r>
        <w:rPr>
          <w:rFonts w:hint="eastAsia" w:ascii="仿宋_GB2312" w:eastAsia="仿宋_GB2312" w:cs="Times New Roman"/>
          <w:color w:val="000000"/>
          <w:sz w:val="32"/>
          <w:szCs w:val="32"/>
        </w:rPr>
        <w:t>。</w:t>
      </w:r>
    </w:p>
    <w:p w14:paraId="6719A7EF">
      <w:pPr>
        <w:pageBreakBefore w:val="0"/>
        <w:kinsoku/>
        <w:wordWrap/>
        <w:overflowPunct/>
        <w:topLinePunct w:val="0"/>
        <w:bidi w:val="0"/>
        <w:ind w:left="0" w:leftChars="0" w:firstLine="640" w:firstLineChars="200"/>
        <w:textAlignment w:val="auto"/>
        <w:rPr>
          <w:rFonts w:hint="eastAsia" w:ascii="仿宋_GB2312" w:eastAsia="仿宋_GB2312" w:cs="Times New Roman"/>
          <w:color w:val="000000"/>
          <w:sz w:val="32"/>
          <w:szCs w:val="32"/>
        </w:rPr>
      </w:pPr>
      <w:r>
        <w:rPr>
          <w:rFonts w:hint="eastAsia" w:ascii="仿宋_GB2312" w:eastAsia="仿宋_GB2312" w:cs="Times New Roman"/>
          <w:color w:val="000000"/>
          <w:sz w:val="32"/>
          <w:szCs w:val="32"/>
          <w:lang w:val="en-US" w:eastAsia="zh-CN"/>
        </w:rPr>
        <w:t>8</w:t>
      </w:r>
      <w:r>
        <w:rPr>
          <w:rFonts w:hint="eastAsia" w:ascii="仿宋_GB2312" w:eastAsia="仿宋_GB2312" w:cs="Times New Roman"/>
          <w:color w:val="000000"/>
          <w:sz w:val="32"/>
          <w:szCs w:val="32"/>
        </w:rPr>
        <w:t>. 卫生健康</w:t>
      </w:r>
      <w:r>
        <w:rPr>
          <w:rFonts w:hint="eastAsia" w:ascii="仿宋_GB2312" w:eastAsia="仿宋_GB2312" w:cs="Times New Roman"/>
          <w:color w:val="000000"/>
          <w:sz w:val="32"/>
          <w:szCs w:val="32"/>
          <w:lang w:val="en-US" w:eastAsia="zh-CN"/>
        </w:rPr>
        <w:t>210</w:t>
      </w:r>
      <w:r>
        <w:rPr>
          <w:rFonts w:hint="eastAsia" w:ascii="仿宋_GB2312" w:eastAsia="仿宋_GB2312" w:cs="Times New Roman"/>
          <w:color w:val="000000"/>
          <w:sz w:val="32"/>
          <w:szCs w:val="32"/>
        </w:rPr>
        <w:t>（类）</w:t>
      </w:r>
      <w:r>
        <w:rPr>
          <w:rFonts w:hint="eastAsia" w:ascii="仿宋_GB2312" w:eastAsia="仿宋_GB2312" w:cs="Times New Roman"/>
          <w:color w:val="000000"/>
          <w:sz w:val="32"/>
          <w:szCs w:val="32"/>
          <w:lang w:val="en-US" w:eastAsia="zh-CN"/>
        </w:rPr>
        <w:t>11</w:t>
      </w:r>
      <w:r>
        <w:rPr>
          <w:rFonts w:hint="eastAsia" w:ascii="仿宋_GB2312" w:eastAsia="仿宋_GB2312" w:cs="Times New Roman"/>
          <w:color w:val="000000"/>
          <w:sz w:val="32"/>
          <w:szCs w:val="32"/>
        </w:rPr>
        <w:t>（款）</w:t>
      </w:r>
      <w:r>
        <w:rPr>
          <w:rFonts w:hint="eastAsia" w:ascii="仿宋_GB2312" w:eastAsia="仿宋_GB2312" w:cs="Times New Roman"/>
          <w:color w:val="000000"/>
          <w:sz w:val="32"/>
          <w:szCs w:val="32"/>
          <w:lang w:val="en-US" w:eastAsia="zh-CN"/>
        </w:rPr>
        <w:t>03</w:t>
      </w:r>
      <w:r>
        <w:rPr>
          <w:rFonts w:hint="eastAsia" w:ascii="仿宋_GB2312" w:eastAsia="仿宋_GB2312" w:cs="Times New Roman"/>
          <w:color w:val="000000"/>
          <w:sz w:val="32"/>
          <w:szCs w:val="32"/>
        </w:rPr>
        <w:t>（项）：指公务员医疗补助</w:t>
      </w:r>
      <w:r>
        <w:rPr>
          <w:rFonts w:hint="eastAsia" w:ascii="仿宋_GB2312" w:eastAsia="仿宋_GB2312" w:cs="Times New Roman"/>
          <w:color w:val="000000"/>
          <w:sz w:val="32"/>
          <w:szCs w:val="32"/>
          <w:lang w:val="en-US" w:eastAsia="zh-CN"/>
        </w:rPr>
        <w:t>支出</w:t>
      </w:r>
      <w:r>
        <w:rPr>
          <w:rFonts w:hint="eastAsia" w:ascii="仿宋_GB2312" w:eastAsia="仿宋_GB2312" w:cs="Times New Roman"/>
          <w:color w:val="000000"/>
          <w:sz w:val="32"/>
          <w:szCs w:val="32"/>
        </w:rPr>
        <w:t>。</w:t>
      </w:r>
    </w:p>
    <w:p w14:paraId="7B72173A">
      <w:pPr>
        <w:pageBreakBefore w:val="0"/>
        <w:kinsoku/>
        <w:wordWrap/>
        <w:overflowPunct/>
        <w:topLinePunct w:val="0"/>
        <w:bidi w:val="0"/>
        <w:ind w:left="0" w:leftChars="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（类）05（款）01（项）：指实行归口管理的行政单位（包括实行公务员管理的事业单位）开支的离退休经费。</w:t>
      </w:r>
    </w:p>
    <w:p w14:paraId="745CA2BA">
      <w:pPr>
        <w:pStyle w:val="2"/>
        <w:pageBreakBefore w:val="0"/>
        <w:kinsoku/>
        <w:wordWrap/>
        <w:overflowPunct/>
        <w:topLinePunct w:val="0"/>
        <w:bidi w:val="0"/>
        <w:spacing w:beforeLines="0"/>
        <w:ind w:left="0" w:leftChars="0" w:firstLine="640" w:firstLineChars="200"/>
        <w:textAlignment w:val="auto"/>
        <w:rPr>
          <w:rFonts w:hint="default"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10.社会保障和就业208（类）05（款）02（项）：指反映事业单位开支的离退休经费</w:t>
      </w:r>
      <w:r>
        <w:rPr>
          <w:rFonts w:hint="eastAsia" w:hAnsi="Times New Roman" w:cs="Times New Roman"/>
          <w:color w:val="000000"/>
          <w:kern w:val="2"/>
          <w:sz w:val="32"/>
          <w:szCs w:val="32"/>
          <w:lang w:val="en-US" w:eastAsia="zh-CN" w:bidi="ar-SA"/>
        </w:rPr>
        <w:t>。</w:t>
      </w:r>
    </w:p>
    <w:p w14:paraId="76C17052">
      <w:pPr>
        <w:pageBreakBefore w:val="0"/>
        <w:kinsoku/>
        <w:wordWrap/>
        <w:overflowPunct/>
        <w:topLinePunct w:val="0"/>
        <w:bidi w:val="0"/>
        <w:ind w:left="0" w:leftChars="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（类）05（款）05（项）：指机关事业单位实施养老保险制度由单位缴纳的基本养老保险费支出。</w:t>
      </w:r>
    </w:p>
    <w:p w14:paraId="289C6237">
      <w:pPr>
        <w:pStyle w:val="2"/>
        <w:pageBreakBefore w:val="0"/>
        <w:kinsoku/>
        <w:wordWrap/>
        <w:overflowPunct/>
        <w:topLinePunct w:val="0"/>
        <w:bidi w:val="0"/>
        <w:spacing w:beforeLines="0"/>
        <w:ind w:left="0" w:leftChars="0" w:firstLine="640" w:firstLineChars="200"/>
        <w:textAlignment w:val="auto"/>
        <w:rPr>
          <w:rFonts w:hint="default" w:eastAsia="仿宋_GB2312"/>
          <w:lang w:val="en-US" w:eastAsia="zh-CN"/>
        </w:rPr>
      </w:pPr>
      <w:r>
        <w:rPr>
          <w:rFonts w:hint="eastAsia"/>
          <w:color w:val="000000"/>
          <w:sz w:val="32"/>
          <w:szCs w:val="32"/>
          <w:lang w:val="en-US" w:eastAsia="zh-CN"/>
        </w:rPr>
        <w:t>12.社会福利</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（类）</w:t>
      </w:r>
      <w:r>
        <w:rPr>
          <w:rFonts w:hint="eastAsia"/>
          <w:color w:val="000000"/>
          <w:sz w:val="32"/>
          <w:szCs w:val="32"/>
          <w:lang w:val="en-US" w:eastAsia="zh-CN"/>
        </w:rPr>
        <w:t>10</w:t>
      </w:r>
      <w:r>
        <w:rPr>
          <w:rFonts w:hint="eastAsia" w:ascii="仿宋_GB2312" w:eastAsia="仿宋_GB2312"/>
          <w:color w:val="000000"/>
          <w:sz w:val="32"/>
          <w:szCs w:val="32"/>
        </w:rPr>
        <w:t>（款）0</w:t>
      </w:r>
      <w:r>
        <w:rPr>
          <w:rFonts w:hint="eastAsia"/>
          <w:color w:val="000000"/>
          <w:sz w:val="32"/>
          <w:szCs w:val="32"/>
          <w:lang w:val="en-US" w:eastAsia="zh-CN"/>
        </w:rPr>
        <w:t>1</w:t>
      </w:r>
      <w:r>
        <w:rPr>
          <w:rFonts w:hint="eastAsia" w:ascii="仿宋_GB2312" w:eastAsia="仿宋_GB2312"/>
          <w:color w:val="000000"/>
          <w:sz w:val="32"/>
          <w:szCs w:val="32"/>
        </w:rPr>
        <w:t>（项）</w:t>
      </w:r>
      <w:r>
        <w:rPr>
          <w:rFonts w:hint="eastAsia"/>
          <w:color w:val="000000"/>
          <w:sz w:val="32"/>
          <w:szCs w:val="32"/>
          <w:lang w:eastAsia="zh-CN"/>
        </w:rPr>
        <w:t>：</w:t>
      </w:r>
      <w:r>
        <w:rPr>
          <w:rFonts w:hint="eastAsia"/>
          <w:color w:val="000000"/>
          <w:sz w:val="32"/>
          <w:szCs w:val="32"/>
          <w:lang w:val="en-US" w:eastAsia="zh-CN"/>
        </w:rPr>
        <w:t>指对儿童提供福利服务方面的支出。</w:t>
      </w:r>
    </w:p>
    <w:p w14:paraId="313914D1">
      <w:pPr>
        <w:pageBreakBefore w:val="0"/>
        <w:kinsoku/>
        <w:wordWrap/>
        <w:overflowPunct/>
        <w:topLinePunct w:val="0"/>
        <w:bidi w:val="0"/>
        <w:spacing w:line="600" w:lineRule="exact"/>
        <w:ind w:left="0" w:leftChars="0"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 xml:space="preserve"> 城乡社区支出</w:t>
      </w:r>
      <w:r>
        <w:rPr>
          <w:rFonts w:hint="eastAsia" w:ascii="仿宋_GB2312" w:eastAsia="仿宋_GB2312"/>
          <w:color w:val="000000"/>
          <w:sz w:val="32"/>
          <w:szCs w:val="32"/>
          <w:lang w:val="en-US" w:eastAsia="zh-CN"/>
        </w:rPr>
        <w:t>212</w:t>
      </w:r>
      <w:r>
        <w:rPr>
          <w:rFonts w:hint="eastAsia" w:ascii="仿宋_GB2312" w:eastAsia="仿宋_GB2312"/>
          <w:color w:val="000000"/>
          <w:sz w:val="32"/>
          <w:szCs w:val="32"/>
        </w:rPr>
        <w:t>（类）03（款）99（项）</w:t>
      </w:r>
      <w:r>
        <w:rPr>
          <w:rFonts w:ascii="仿宋_GB2312" w:eastAsia="仿宋_GB2312"/>
          <w:color w:val="000000"/>
          <w:sz w:val="32"/>
          <w:szCs w:val="32"/>
        </w:rPr>
        <w:t>:</w:t>
      </w:r>
      <w:r>
        <w:rPr>
          <w:rFonts w:hint="eastAsia" w:ascii="仿宋_GB2312" w:eastAsia="仿宋_GB2312"/>
          <w:color w:val="000000"/>
          <w:sz w:val="32"/>
          <w:szCs w:val="32"/>
        </w:rPr>
        <w:t>指其他城乡社区公共设施支出</w:t>
      </w:r>
      <w:r>
        <w:rPr>
          <w:rFonts w:hint="eastAsia" w:ascii="仿宋_GB2312" w:eastAsia="仿宋_GB2312"/>
          <w:color w:val="000000"/>
          <w:sz w:val="32"/>
          <w:szCs w:val="32"/>
          <w:lang w:eastAsia="zh-CN"/>
        </w:rPr>
        <w:t>。</w:t>
      </w:r>
    </w:p>
    <w:p w14:paraId="36CF2A1A">
      <w:pPr>
        <w:pageBreakBefore w:val="0"/>
        <w:kinsoku/>
        <w:wordWrap/>
        <w:overflowPunct/>
        <w:topLinePunct w:val="0"/>
        <w:bidi w:val="0"/>
        <w:spacing w:line="600" w:lineRule="exact"/>
        <w:ind w:left="0" w:leftChars="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（类）02（款）01（项）：指住房公积金支出。</w:t>
      </w:r>
    </w:p>
    <w:p w14:paraId="733982FF">
      <w:pPr>
        <w:pageBreakBefore w:val="0"/>
        <w:kinsoku/>
        <w:wordWrap/>
        <w:overflowPunct/>
        <w:topLinePunct w:val="0"/>
        <w:bidi w:val="0"/>
        <w:ind w:left="0" w:leftChars="0"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1CED97E0">
      <w:pPr>
        <w:pageBreakBefore w:val="0"/>
        <w:kinsoku/>
        <w:wordWrap/>
        <w:overflowPunct/>
        <w:topLinePunct w:val="0"/>
        <w:bidi w:val="0"/>
        <w:ind w:left="0" w:leftChars="0"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30BB9FF6">
      <w:pPr>
        <w:pStyle w:val="28"/>
        <w:pageBreakBefore w:val="0"/>
        <w:kinsoku/>
        <w:wordWrap/>
        <w:overflowPunct/>
        <w:topLinePunct w:val="0"/>
        <w:bidi w:val="0"/>
        <w:spacing w:line="560" w:lineRule="exact"/>
        <w:ind w:left="0" w:leftChars="0"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AAD7D50">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lang w:val="en-US" w:eastAsia="zh-CN"/>
        </w:rPr>
        <w:t>18</w:t>
      </w: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44B9146">
      <w:pPr>
        <w:pageBreakBefore w:val="0"/>
        <w:kinsoku/>
        <w:wordWrap/>
        <w:overflowPunct/>
        <w:topLinePunct w:val="0"/>
        <w:bidi w:val="0"/>
        <w:spacing w:line="600" w:lineRule="exact"/>
        <w:ind w:left="0" w:leftChars="0"/>
        <w:jc w:val="center"/>
        <w:textAlignment w:val="auto"/>
        <w:rPr>
          <w:rFonts w:hint="eastAsia" w:eastAsia="黑体"/>
          <w:sz w:val="44"/>
          <w:szCs w:val="44"/>
        </w:rPr>
      </w:pPr>
      <w:bookmarkStart w:id="56" w:name="_Toc15396614"/>
      <w:bookmarkStart w:id="57" w:name="_Toc15377226"/>
    </w:p>
    <w:p w14:paraId="53BD5901">
      <w:pPr>
        <w:pageBreakBefore w:val="0"/>
        <w:kinsoku/>
        <w:wordWrap/>
        <w:overflowPunct/>
        <w:topLinePunct w:val="0"/>
        <w:bidi w:val="0"/>
        <w:spacing w:line="600" w:lineRule="exact"/>
        <w:ind w:left="0" w:leftChars="0"/>
        <w:jc w:val="center"/>
        <w:textAlignment w:val="auto"/>
        <w:rPr>
          <w:rFonts w:hint="eastAsia" w:eastAsia="黑体"/>
          <w:sz w:val="44"/>
          <w:szCs w:val="44"/>
        </w:rPr>
      </w:pPr>
    </w:p>
    <w:p w14:paraId="7E37142C">
      <w:pPr>
        <w:pageBreakBefore w:val="0"/>
        <w:kinsoku/>
        <w:wordWrap/>
        <w:overflowPunct/>
        <w:topLinePunct w:val="0"/>
        <w:bidi w:val="0"/>
        <w:spacing w:line="600" w:lineRule="exact"/>
        <w:ind w:left="0" w:leftChars="0"/>
        <w:jc w:val="center"/>
        <w:textAlignment w:val="auto"/>
        <w:rPr>
          <w:rFonts w:hint="eastAsia" w:eastAsia="黑体"/>
          <w:sz w:val="44"/>
          <w:szCs w:val="44"/>
        </w:rPr>
      </w:pPr>
    </w:p>
    <w:p w14:paraId="25BABC81">
      <w:pPr>
        <w:pageBreakBefore w:val="0"/>
        <w:kinsoku/>
        <w:wordWrap/>
        <w:overflowPunct/>
        <w:topLinePunct w:val="0"/>
        <w:bidi w:val="0"/>
        <w:spacing w:line="600" w:lineRule="exact"/>
        <w:ind w:left="0" w:leftChars="0"/>
        <w:jc w:val="center"/>
        <w:textAlignment w:val="auto"/>
        <w:rPr>
          <w:rFonts w:hint="eastAsia" w:eastAsia="黑体"/>
          <w:sz w:val="44"/>
          <w:szCs w:val="44"/>
        </w:rPr>
      </w:pPr>
    </w:p>
    <w:p w14:paraId="7227CA91">
      <w:pPr>
        <w:pStyle w:val="2"/>
        <w:pageBreakBefore w:val="0"/>
        <w:kinsoku/>
        <w:wordWrap/>
        <w:overflowPunct/>
        <w:topLinePunct w:val="0"/>
        <w:bidi w:val="0"/>
        <w:spacing w:beforeLines="0"/>
        <w:ind w:left="0" w:leftChars="0"/>
        <w:textAlignment w:val="auto"/>
        <w:rPr>
          <w:rFonts w:hint="eastAsia" w:eastAsia="黑体"/>
          <w:sz w:val="44"/>
          <w:szCs w:val="44"/>
        </w:rPr>
      </w:pPr>
    </w:p>
    <w:p w14:paraId="399B3095">
      <w:pPr>
        <w:pStyle w:val="2"/>
        <w:pageBreakBefore w:val="0"/>
        <w:kinsoku/>
        <w:wordWrap/>
        <w:overflowPunct/>
        <w:topLinePunct w:val="0"/>
        <w:bidi w:val="0"/>
        <w:spacing w:beforeLines="0"/>
        <w:ind w:left="0" w:leftChars="0"/>
        <w:textAlignment w:val="auto"/>
        <w:rPr>
          <w:rFonts w:hint="eastAsia" w:eastAsia="黑体"/>
          <w:sz w:val="44"/>
          <w:szCs w:val="44"/>
        </w:rPr>
      </w:pPr>
    </w:p>
    <w:p w14:paraId="2AE2968F">
      <w:pPr>
        <w:pStyle w:val="2"/>
        <w:pageBreakBefore w:val="0"/>
        <w:kinsoku/>
        <w:wordWrap/>
        <w:overflowPunct/>
        <w:topLinePunct w:val="0"/>
        <w:bidi w:val="0"/>
        <w:spacing w:beforeLines="0"/>
        <w:ind w:left="0" w:leftChars="0"/>
        <w:textAlignment w:val="auto"/>
        <w:rPr>
          <w:rFonts w:hint="eastAsia" w:eastAsia="黑体"/>
          <w:sz w:val="44"/>
          <w:szCs w:val="44"/>
        </w:rPr>
      </w:pPr>
    </w:p>
    <w:p w14:paraId="478E6716">
      <w:pPr>
        <w:pStyle w:val="2"/>
        <w:pageBreakBefore w:val="0"/>
        <w:kinsoku/>
        <w:wordWrap/>
        <w:overflowPunct/>
        <w:topLinePunct w:val="0"/>
        <w:bidi w:val="0"/>
        <w:spacing w:beforeLines="0"/>
        <w:ind w:left="0" w:leftChars="0"/>
        <w:textAlignment w:val="auto"/>
        <w:rPr>
          <w:rFonts w:hint="eastAsia" w:eastAsia="黑体"/>
          <w:sz w:val="44"/>
          <w:szCs w:val="44"/>
        </w:rPr>
      </w:pPr>
    </w:p>
    <w:p w14:paraId="0D18CCED">
      <w:pPr>
        <w:pStyle w:val="2"/>
        <w:pageBreakBefore w:val="0"/>
        <w:kinsoku/>
        <w:wordWrap/>
        <w:overflowPunct/>
        <w:topLinePunct w:val="0"/>
        <w:bidi w:val="0"/>
        <w:spacing w:beforeLines="0"/>
        <w:ind w:left="0" w:leftChars="0"/>
        <w:textAlignment w:val="auto"/>
        <w:rPr>
          <w:rFonts w:hint="eastAsia" w:eastAsia="黑体"/>
          <w:sz w:val="44"/>
          <w:szCs w:val="44"/>
        </w:rPr>
      </w:pPr>
    </w:p>
    <w:p w14:paraId="69E08D04">
      <w:pPr>
        <w:pStyle w:val="2"/>
        <w:pageBreakBefore w:val="0"/>
        <w:kinsoku/>
        <w:wordWrap/>
        <w:overflowPunct/>
        <w:topLinePunct w:val="0"/>
        <w:bidi w:val="0"/>
        <w:spacing w:beforeLines="0"/>
        <w:ind w:left="0" w:leftChars="0"/>
        <w:textAlignment w:val="auto"/>
        <w:rPr>
          <w:rFonts w:hint="eastAsia" w:eastAsia="黑体"/>
          <w:sz w:val="44"/>
          <w:szCs w:val="44"/>
        </w:rPr>
      </w:pPr>
    </w:p>
    <w:p w14:paraId="4D19AF59">
      <w:pPr>
        <w:pStyle w:val="2"/>
        <w:pageBreakBefore w:val="0"/>
        <w:kinsoku/>
        <w:wordWrap/>
        <w:overflowPunct/>
        <w:topLinePunct w:val="0"/>
        <w:bidi w:val="0"/>
        <w:spacing w:beforeLines="0"/>
        <w:ind w:left="0" w:leftChars="0"/>
        <w:textAlignment w:val="auto"/>
        <w:rPr>
          <w:rFonts w:hint="eastAsia" w:eastAsia="黑体"/>
          <w:sz w:val="44"/>
          <w:szCs w:val="44"/>
        </w:rPr>
      </w:pPr>
    </w:p>
    <w:p w14:paraId="6E6CAF19">
      <w:pPr>
        <w:pStyle w:val="2"/>
        <w:pageBreakBefore w:val="0"/>
        <w:kinsoku/>
        <w:wordWrap/>
        <w:overflowPunct/>
        <w:topLinePunct w:val="0"/>
        <w:bidi w:val="0"/>
        <w:spacing w:beforeLines="0"/>
        <w:ind w:left="0" w:leftChars="0"/>
        <w:textAlignment w:val="auto"/>
        <w:rPr>
          <w:rFonts w:hint="eastAsia"/>
        </w:rPr>
      </w:pPr>
    </w:p>
    <w:p w14:paraId="6816C1BE">
      <w:pPr>
        <w:pStyle w:val="2"/>
        <w:pageBreakBefore w:val="0"/>
        <w:kinsoku/>
        <w:wordWrap/>
        <w:overflowPunct/>
        <w:topLinePunct w:val="0"/>
        <w:bidi w:val="0"/>
        <w:spacing w:beforeLines="0"/>
        <w:ind w:left="0" w:leftChars="0"/>
        <w:textAlignment w:val="auto"/>
        <w:rPr>
          <w:rFonts w:hint="eastAsia"/>
        </w:rPr>
      </w:pPr>
    </w:p>
    <w:p w14:paraId="0E30EEB1">
      <w:pPr>
        <w:pStyle w:val="2"/>
        <w:pageBreakBefore w:val="0"/>
        <w:kinsoku/>
        <w:wordWrap/>
        <w:overflowPunct/>
        <w:topLinePunct w:val="0"/>
        <w:bidi w:val="0"/>
        <w:spacing w:beforeLines="0"/>
        <w:ind w:left="0" w:leftChars="0"/>
        <w:textAlignment w:val="auto"/>
        <w:rPr>
          <w:rFonts w:hint="eastAsia"/>
        </w:rPr>
      </w:pPr>
    </w:p>
    <w:p w14:paraId="711F3757">
      <w:pPr>
        <w:pageBreakBefore w:val="0"/>
        <w:kinsoku/>
        <w:wordWrap/>
        <w:overflowPunct/>
        <w:topLinePunct w:val="0"/>
        <w:bidi w:val="0"/>
        <w:spacing w:line="600" w:lineRule="exact"/>
        <w:ind w:left="0" w:leftChars="0"/>
        <w:jc w:val="center"/>
        <w:textAlignment w:val="auto"/>
        <w:rPr>
          <w:rFonts w:hint="eastAsia" w:eastAsia="黑体"/>
          <w:sz w:val="44"/>
          <w:szCs w:val="44"/>
        </w:rPr>
      </w:pPr>
    </w:p>
    <w:p w14:paraId="1F9A4071">
      <w:pPr>
        <w:pageBreakBefore w:val="0"/>
        <w:kinsoku/>
        <w:wordWrap/>
        <w:overflowPunct/>
        <w:topLinePunct w:val="0"/>
        <w:bidi w:val="0"/>
        <w:spacing w:line="600" w:lineRule="exact"/>
        <w:ind w:left="0" w:leftChars="0"/>
        <w:jc w:val="center"/>
        <w:textAlignment w:val="auto"/>
        <w:rPr>
          <w:rFonts w:eastAsia="黑体" w:cs="黑体"/>
          <w:color w:val="FF0000"/>
          <w:sz w:val="32"/>
          <w:szCs w:val="32"/>
        </w:rPr>
      </w:pPr>
      <w:r>
        <w:rPr>
          <w:rFonts w:hint="eastAsia" w:eastAsia="黑体"/>
          <w:sz w:val="44"/>
          <w:szCs w:val="44"/>
        </w:rPr>
        <w:t>第四部分  附件</w:t>
      </w:r>
      <w:bookmarkEnd w:id="56"/>
    </w:p>
    <w:p w14:paraId="7D5023BC">
      <w:pPr>
        <w:pStyle w:val="14"/>
        <w:pageBreakBefore w:val="0"/>
        <w:kinsoku/>
        <w:wordWrap/>
        <w:overflowPunct/>
        <w:topLinePunct w:val="0"/>
        <w:bidi w:val="0"/>
        <w:ind w:left="0" w:leftChars="0"/>
        <w:textAlignment w:val="auto"/>
      </w:pPr>
    </w:p>
    <w:p w14:paraId="33CDEDFD">
      <w:pPr>
        <w:pageBreakBefore w:val="0"/>
        <w:kinsoku/>
        <w:wordWrap/>
        <w:overflowPunct/>
        <w:topLinePunct w:val="0"/>
        <w:bidi w:val="0"/>
        <w:spacing w:line="572" w:lineRule="exact"/>
        <w:ind w:left="0" w:leftChars="0"/>
        <w:jc w:val="left"/>
        <w:textAlignment w:val="auto"/>
        <w:outlineLvl w:val="0"/>
        <w:rPr>
          <w:rFonts w:eastAsia="黑体" w:cs="方正小标宋简体"/>
          <w:sz w:val="44"/>
          <w:szCs w:val="44"/>
        </w:rPr>
      </w:pPr>
      <w:r>
        <w:rPr>
          <w:rFonts w:hint="eastAsia" w:eastAsia="黑体" w:cs="黑体"/>
          <w:sz w:val="32"/>
          <w:szCs w:val="32"/>
        </w:rPr>
        <w:t>附件1</w:t>
      </w:r>
    </w:p>
    <w:p w14:paraId="198A6C78">
      <w:pPr>
        <w:pageBreakBefore w:val="0"/>
        <w:widowControl/>
        <w:kinsoku/>
        <w:wordWrap/>
        <w:overflowPunct/>
        <w:topLinePunct w:val="0"/>
        <w:bidi w:val="0"/>
        <w:spacing w:line="578" w:lineRule="exact"/>
        <w:ind w:left="0" w:leftChars="0"/>
        <w:contextualSpacing/>
        <w:jc w:val="center"/>
        <w:textAlignment w:val="auto"/>
        <w:rPr>
          <w:rFonts w:eastAsia="方正小标宋简体"/>
          <w:bCs/>
          <w:sz w:val="44"/>
          <w:szCs w:val="44"/>
          <w:shd w:val="clear" w:color="auto" w:fill="FFFFFF"/>
        </w:rPr>
      </w:pPr>
    </w:p>
    <w:p w14:paraId="4810DFBC">
      <w:pPr>
        <w:pageBreakBefore w:val="0"/>
        <w:widowControl/>
        <w:kinsoku/>
        <w:wordWrap/>
        <w:overflowPunct/>
        <w:topLinePunct w:val="0"/>
        <w:bidi w:val="0"/>
        <w:spacing w:line="578" w:lineRule="exact"/>
        <w:ind w:left="0" w:leftChars="0"/>
        <w:contextualSpacing/>
        <w:jc w:val="center"/>
        <w:textAlignment w:val="auto"/>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63FC1A0B">
      <w:pPr>
        <w:pageBreakBefore w:val="0"/>
        <w:widowControl/>
        <w:kinsoku/>
        <w:wordWrap/>
        <w:overflowPunct/>
        <w:topLinePunct w:val="0"/>
        <w:bidi w:val="0"/>
        <w:adjustRightInd w:val="0"/>
        <w:snapToGrid w:val="0"/>
        <w:spacing w:line="578" w:lineRule="exact"/>
        <w:ind w:left="0" w:leftChars="0" w:firstLine="480" w:firstLineChars="200"/>
        <w:contextualSpacing/>
        <w:jc w:val="left"/>
        <w:textAlignment w:val="auto"/>
        <w:rPr>
          <w:rFonts w:eastAsia="黑体"/>
          <w:color w:val="000000"/>
          <w:kern w:val="0"/>
          <w:sz w:val="24"/>
          <w:szCs w:val="32"/>
          <w:shd w:val="clear" w:color="auto" w:fill="FFFFFF"/>
        </w:rPr>
      </w:pPr>
    </w:p>
    <w:p w14:paraId="79463DF6">
      <w:pPr>
        <w:pageBreakBefore w:val="0"/>
        <w:widowControl/>
        <w:kinsoku/>
        <w:wordWrap/>
        <w:overflowPunct/>
        <w:topLinePunct w:val="0"/>
        <w:bidi w:val="0"/>
        <w:adjustRightInd w:val="0"/>
        <w:snapToGrid w:val="0"/>
        <w:spacing w:line="578" w:lineRule="exact"/>
        <w:ind w:left="0" w:leftChars="0" w:firstLine="640" w:firstLineChars="200"/>
        <w:contextualSpacing/>
        <w:jc w:val="left"/>
        <w:textAlignment w:val="auto"/>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14:paraId="26B41AF7">
      <w:pPr>
        <w:pageBreakBefore w:val="0"/>
        <w:widowControl/>
        <w:kinsoku/>
        <w:wordWrap/>
        <w:overflowPunct/>
        <w:topLinePunct w:val="0"/>
        <w:bidi w:val="0"/>
        <w:adjustRightInd w:val="0"/>
        <w:snapToGrid w:val="0"/>
        <w:spacing w:line="572" w:lineRule="exact"/>
        <w:ind w:left="0" w:leftChars="0" w:firstLine="643" w:firstLineChars="200"/>
        <w:contextualSpacing/>
        <w:jc w:val="left"/>
        <w:textAlignment w:val="auto"/>
        <w:rPr>
          <w:szCs w:val="32"/>
        </w:rPr>
      </w:pPr>
      <w:r>
        <w:rPr>
          <w:rFonts w:hint="eastAsia" w:eastAsia="楷体_GB2312" w:cs="楷体_GB2312"/>
          <w:b/>
          <w:sz w:val="32"/>
          <w:szCs w:val="32"/>
          <w:lang w:val="zh-CN"/>
        </w:rPr>
        <w:t>（一）</w:t>
      </w:r>
      <w:r>
        <w:rPr>
          <w:rFonts w:eastAsia="楷体_GB2312" w:cs="楷体_GB2312"/>
          <w:b/>
          <w:sz w:val="32"/>
          <w:szCs w:val="32"/>
          <w:lang w:val="zh-CN"/>
        </w:rPr>
        <w:t>机构组成。</w:t>
      </w:r>
      <w:r>
        <w:rPr>
          <w:rFonts w:ascii="仿宋_GB2312" w:hAnsi="仿宋" w:eastAsia="仿宋_GB2312"/>
          <w:sz w:val="32"/>
          <w:szCs w:val="32"/>
        </w:rPr>
        <w:t>市政务服务管理局属一级预算单位，下属2个事业单位：市政务服务中心和市公共资源交易中心。</w:t>
      </w:r>
    </w:p>
    <w:p w14:paraId="21FA620F">
      <w:pPr>
        <w:pageBreakBefore w:val="0"/>
        <w:widowControl/>
        <w:kinsoku/>
        <w:wordWrap/>
        <w:overflowPunct/>
        <w:topLinePunct w:val="0"/>
        <w:bidi w:val="0"/>
        <w:adjustRightInd w:val="0"/>
        <w:snapToGrid w:val="0"/>
        <w:spacing w:line="572" w:lineRule="exact"/>
        <w:ind w:left="0" w:leftChars="0" w:firstLine="643" w:firstLineChars="200"/>
        <w:contextualSpacing/>
        <w:jc w:val="left"/>
        <w:textAlignment w:val="auto"/>
        <w:rPr>
          <w:rFonts w:ascii="仿宋_GB2312" w:hAnsi="仿宋" w:eastAsia="仿宋_GB2312" w:cs="Times New Roman"/>
          <w:sz w:val="32"/>
          <w:szCs w:val="32"/>
        </w:rPr>
      </w:pPr>
      <w:r>
        <w:rPr>
          <w:rFonts w:eastAsia="楷体_GB2312" w:cs="楷体_GB2312"/>
          <w:b/>
          <w:sz w:val="32"/>
          <w:szCs w:val="32"/>
          <w:lang w:val="zh-CN"/>
        </w:rPr>
        <w:t>（二）机构职能</w:t>
      </w:r>
      <w:r>
        <w:rPr>
          <w:rFonts w:hint="eastAsia" w:eastAsia="楷体_GB2312" w:cs="楷体_GB2312"/>
          <w:b/>
          <w:sz w:val="32"/>
          <w:szCs w:val="32"/>
          <w:lang w:val="zh-CN"/>
        </w:rPr>
        <w:t>。</w:t>
      </w:r>
      <w:r>
        <w:rPr>
          <w:rFonts w:hint="eastAsia" w:ascii="仿宋_GB2312" w:hAnsi="仿宋" w:eastAsia="仿宋_GB2312" w:cs="Times New Roman"/>
          <w:sz w:val="32"/>
          <w:szCs w:val="32"/>
        </w:rPr>
        <w:t>1.</w:t>
      </w:r>
      <w:r>
        <w:rPr>
          <w:rFonts w:ascii="仿宋_GB2312" w:hAnsi="仿宋" w:eastAsia="仿宋_GB2312" w:cs="Times New Roman"/>
          <w:sz w:val="32"/>
          <w:szCs w:val="32"/>
        </w:rPr>
        <w:t>组织拟订全市政务服务、行政审批制度改革和公共资源交易管理服务发展规划、政策和措施并组织、指导实施。</w:t>
      </w:r>
    </w:p>
    <w:p w14:paraId="64AD3E66">
      <w:pPr>
        <w:pageBreakBefore w:val="0"/>
        <w:widowControl/>
        <w:kinsoku/>
        <w:wordWrap/>
        <w:overflowPunct/>
        <w:topLinePunct w:val="0"/>
        <w:bidi w:val="0"/>
        <w:adjustRightInd w:val="0"/>
        <w:snapToGrid w:val="0"/>
        <w:spacing w:line="572" w:lineRule="exact"/>
        <w:ind w:left="0" w:leftChars="0" w:firstLine="640" w:firstLineChars="200"/>
        <w:contextualSpacing/>
        <w:jc w:val="left"/>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2.</w:t>
      </w:r>
      <w:r>
        <w:rPr>
          <w:rFonts w:ascii="仿宋_GB2312" w:hAnsi="仿宋" w:eastAsia="仿宋_GB2312" w:cs="Times New Roman"/>
          <w:sz w:val="32"/>
          <w:szCs w:val="32"/>
        </w:rPr>
        <w:t>负责政务服务管理工作。指导、协调并推进全市政务服务体系建设。指导、协调和监督市级部门（单位）政务服务工作。指导、监督相关电子政务服务平台建设和运行工作。对县、区政务服务管理机构进行业务指导。</w:t>
      </w:r>
    </w:p>
    <w:p w14:paraId="3067608A">
      <w:pPr>
        <w:pageBreakBefore w:val="0"/>
        <w:widowControl/>
        <w:kinsoku/>
        <w:wordWrap/>
        <w:overflowPunct/>
        <w:topLinePunct w:val="0"/>
        <w:bidi w:val="0"/>
        <w:adjustRightInd w:val="0"/>
        <w:snapToGrid w:val="0"/>
        <w:spacing w:line="572" w:lineRule="exact"/>
        <w:ind w:left="0" w:leftChars="0" w:firstLine="640" w:firstLineChars="200"/>
        <w:contextualSpacing/>
        <w:jc w:val="left"/>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3.</w:t>
      </w:r>
      <w:r>
        <w:rPr>
          <w:rFonts w:ascii="仿宋_GB2312" w:hAnsi="仿宋" w:eastAsia="仿宋_GB2312" w:cs="Times New Roman"/>
          <w:sz w:val="32"/>
          <w:szCs w:val="32"/>
        </w:rPr>
        <w:t>负责指导、协调、监督并推进全市深化行政审批制度改革工作。</w:t>
      </w:r>
    </w:p>
    <w:p w14:paraId="279FCF37">
      <w:pPr>
        <w:pageBreakBefore w:val="0"/>
        <w:widowControl/>
        <w:kinsoku/>
        <w:wordWrap/>
        <w:overflowPunct/>
        <w:topLinePunct w:val="0"/>
        <w:bidi w:val="0"/>
        <w:adjustRightInd w:val="0"/>
        <w:snapToGrid w:val="0"/>
        <w:spacing w:line="572" w:lineRule="exact"/>
        <w:ind w:left="0" w:leftChars="0" w:firstLine="640" w:firstLineChars="200"/>
        <w:contextualSpacing/>
        <w:jc w:val="left"/>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4.</w:t>
      </w:r>
      <w:r>
        <w:rPr>
          <w:rFonts w:ascii="仿宋_GB2312" w:hAnsi="仿宋" w:eastAsia="仿宋_GB2312" w:cs="Times New Roman"/>
          <w:sz w:val="32"/>
          <w:szCs w:val="32"/>
        </w:rPr>
        <w:t>负责公共资源交易服务管理工作。指导、协调并推进全市公共资源交易服务体系建设，牵头负责公共资源交易主体信用体系建设。指导、协调、监督管理公共资源交易服务工作。</w:t>
      </w:r>
    </w:p>
    <w:p w14:paraId="59CC5775">
      <w:pPr>
        <w:pageBreakBefore w:val="0"/>
        <w:widowControl/>
        <w:kinsoku/>
        <w:wordWrap/>
        <w:overflowPunct/>
        <w:topLinePunct w:val="0"/>
        <w:bidi w:val="0"/>
        <w:adjustRightInd w:val="0"/>
        <w:snapToGrid w:val="0"/>
        <w:spacing w:line="572" w:lineRule="exact"/>
        <w:ind w:left="0" w:leftChars="0" w:firstLine="640" w:firstLineChars="200"/>
        <w:contextualSpacing/>
        <w:jc w:val="left"/>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5.</w:t>
      </w:r>
      <w:r>
        <w:rPr>
          <w:rFonts w:ascii="仿宋_GB2312" w:hAnsi="仿宋" w:eastAsia="仿宋_GB2312" w:cs="Times New Roman"/>
          <w:sz w:val="32"/>
          <w:szCs w:val="32"/>
        </w:rPr>
        <w:t>指导、协调、监督、考核进驻部门（单位）的政务服务工作，审核进驻政务服务事项，对部门（单位）独立设置的办事大厅进行业务指导和监督。</w:t>
      </w:r>
    </w:p>
    <w:p w14:paraId="576B3E10">
      <w:pPr>
        <w:pageBreakBefore w:val="0"/>
        <w:widowControl/>
        <w:kinsoku/>
        <w:wordWrap/>
        <w:overflowPunct/>
        <w:topLinePunct w:val="0"/>
        <w:bidi w:val="0"/>
        <w:adjustRightInd w:val="0"/>
        <w:snapToGrid w:val="0"/>
        <w:spacing w:line="572" w:lineRule="exact"/>
        <w:ind w:left="0" w:leftChars="0" w:firstLine="640" w:firstLineChars="200"/>
        <w:contextualSpacing/>
        <w:jc w:val="left"/>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6.</w:t>
      </w:r>
      <w:r>
        <w:rPr>
          <w:rFonts w:ascii="仿宋_GB2312" w:hAnsi="仿宋" w:eastAsia="仿宋_GB2312" w:cs="Times New Roman"/>
          <w:sz w:val="32"/>
          <w:szCs w:val="32"/>
        </w:rPr>
        <w:t>按照省、市要求，指导、推进相对集中行政许可权改革。</w:t>
      </w:r>
    </w:p>
    <w:p w14:paraId="6AB5AAB9">
      <w:pPr>
        <w:pageBreakBefore w:val="0"/>
        <w:widowControl/>
        <w:kinsoku/>
        <w:wordWrap/>
        <w:overflowPunct/>
        <w:topLinePunct w:val="0"/>
        <w:bidi w:val="0"/>
        <w:adjustRightInd w:val="0"/>
        <w:snapToGrid w:val="0"/>
        <w:spacing w:line="572" w:lineRule="exact"/>
        <w:ind w:left="0" w:leftChars="0" w:firstLine="640" w:firstLineChars="200"/>
        <w:contextualSpacing/>
        <w:jc w:val="left"/>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7.</w:t>
      </w:r>
      <w:r>
        <w:rPr>
          <w:rFonts w:ascii="仿宋_GB2312" w:hAnsi="仿宋" w:eastAsia="仿宋_GB2312" w:cs="Times New Roman"/>
          <w:sz w:val="32"/>
          <w:szCs w:val="32"/>
        </w:rPr>
        <w:t>负责职责范围的安全生产和职业健康、生态环境保护、审批服务便民化等工作。</w:t>
      </w:r>
    </w:p>
    <w:p w14:paraId="41E2F0B8">
      <w:pPr>
        <w:pageBreakBefore w:val="0"/>
        <w:widowControl/>
        <w:kinsoku/>
        <w:wordWrap/>
        <w:overflowPunct/>
        <w:topLinePunct w:val="0"/>
        <w:bidi w:val="0"/>
        <w:adjustRightInd w:val="0"/>
        <w:snapToGrid w:val="0"/>
        <w:spacing w:line="572" w:lineRule="exact"/>
        <w:ind w:left="0" w:leftChars="0" w:firstLine="640" w:firstLineChars="200"/>
        <w:contextualSpacing/>
        <w:jc w:val="left"/>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8.</w:t>
      </w:r>
      <w:r>
        <w:rPr>
          <w:rFonts w:ascii="仿宋_GB2312" w:hAnsi="仿宋" w:eastAsia="仿宋_GB2312" w:cs="Times New Roman"/>
          <w:sz w:val="32"/>
          <w:szCs w:val="32"/>
        </w:rPr>
        <w:t>完成市委、市政府交办的其他任务。</w:t>
      </w:r>
    </w:p>
    <w:p w14:paraId="0CDE4A31">
      <w:pPr>
        <w:pageBreakBefore w:val="0"/>
        <w:widowControl/>
        <w:kinsoku/>
        <w:wordWrap/>
        <w:overflowPunct/>
        <w:topLinePunct w:val="0"/>
        <w:bidi w:val="0"/>
        <w:adjustRightInd w:val="0"/>
        <w:snapToGrid w:val="0"/>
        <w:spacing w:line="572" w:lineRule="exact"/>
        <w:ind w:left="0" w:leftChars="0" w:firstLine="640" w:firstLineChars="200"/>
        <w:contextualSpacing/>
        <w:jc w:val="left"/>
        <w:textAlignment w:val="auto"/>
        <w:rPr>
          <w:rFonts w:eastAsia="楷体_GB2312"/>
          <w:b/>
          <w:bCs/>
          <w:color w:val="000000"/>
          <w:kern w:val="0"/>
          <w:szCs w:val="32"/>
          <w:shd w:val="clear" w:color="auto" w:fill="FFFFFF"/>
          <w:lang w:val="zh-CN"/>
        </w:rPr>
      </w:pPr>
      <w:bookmarkStart w:id="58" w:name="_Toc113530928"/>
      <w:r>
        <w:rPr>
          <w:rFonts w:hint="eastAsia" w:ascii="仿宋_GB2312" w:hAnsi="仿宋" w:eastAsia="仿宋_GB2312" w:cs="Times New Roman"/>
          <w:sz w:val="32"/>
          <w:szCs w:val="32"/>
        </w:rPr>
        <w:t>9.</w:t>
      </w:r>
      <w:r>
        <w:rPr>
          <w:rFonts w:ascii="仿宋_GB2312" w:hAnsi="仿宋" w:eastAsia="仿宋_GB2312" w:cs="Times New Roman"/>
          <w:sz w:val="32"/>
          <w:szCs w:val="32"/>
        </w:rPr>
        <w:t>职能转变。坚持以人民为中心的发展思想，以方便企业和群众办事为目标，努力提高政务服务质量和效率。规范行政审批行为，督促落实审批事项事中事后监管措施。加快推进审批服务便民化相关举措，持续开展减证便民行动，积极推进政务服务“一网、一门、一次”改革。</w:t>
      </w:r>
      <w:bookmarkEnd w:id="58"/>
    </w:p>
    <w:p w14:paraId="465AFA55">
      <w:pPr>
        <w:pageBreakBefore w:val="0"/>
        <w:widowControl/>
        <w:kinsoku/>
        <w:wordWrap/>
        <w:overflowPunct/>
        <w:topLinePunct w:val="0"/>
        <w:bidi w:val="0"/>
        <w:adjustRightInd w:val="0"/>
        <w:snapToGrid w:val="0"/>
        <w:spacing w:line="572" w:lineRule="exact"/>
        <w:ind w:left="0" w:leftChars="0" w:firstLine="643" w:firstLineChars="200"/>
        <w:contextualSpacing/>
        <w:jc w:val="left"/>
        <w:textAlignment w:val="auto"/>
        <w:rPr>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r>
        <w:rPr>
          <w:rFonts w:eastAsia="仿宋_GB2312"/>
          <w:sz w:val="32"/>
          <w:szCs w:val="32"/>
        </w:rPr>
        <w:t>截至202</w:t>
      </w:r>
      <w:r>
        <w:rPr>
          <w:rFonts w:hint="eastAsia" w:eastAsia="仿宋_GB2312"/>
          <w:sz w:val="32"/>
          <w:szCs w:val="32"/>
          <w:lang w:val="en-US" w:eastAsia="zh-CN"/>
        </w:rPr>
        <w:t>5</w:t>
      </w:r>
      <w:r>
        <w:rPr>
          <w:rFonts w:eastAsia="仿宋_GB2312"/>
          <w:sz w:val="32"/>
          <w:szCs w:val="32"/>
        </w:rPr>
        <w:t>年末，</w:t>
      </w:r>
      <w:r>
        <w:rPr>
          <w:rFonts w:ascii="仿宋_GB2312" w:hAnsi="仿宋" w:eastAsia="仿宋_GB2312"/>
          <w:sz w:val="32"/>
          <w:szCs w:val="32"/>
        </w:rPr>
        <w:t>市政务服务管理局</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lang w:val="en-US" w:eastAsia="zh-CN"/>
        </w:rPr>
        <w:t>及下属单位编制</w:t>
      </w:r>
      <w:r>
        <w:rPr>
          <w:rFonts w:hint="eastAsia" w:ascii="Times New Roman" w:hAnsi="Times New Roman" w:eastAsia="仿宋_GB2312" w:cs="Times New Roman"/>
          <w:sz w:val="32"/>
          <w:szCs w:val="32"/>
          <w:lang w:val="en-US" w:eastAsia="zh-CN"/>
        </w:rPr>
        <w:t>及实有人数情况</w:t>
      </w:r>
      <w:r>
        <w:rPr>
          <w:rFonts w:hint="eastAsia" w:ascii="仿宋_GB2312" w:hAnsi="仿宋" w:eastAsia="仿宋_GB2312" w:cs="Times New Roman"/>
          <w:sz w:val="32"/>
          <w:szCs w:val="32"/>
          <w:lang w:val="zh-CN"/>
        </w:rPr>
        <w:t>：</w:t>
      </w:r>
      <w:r>
        <w:rPr>
          <w:rFonts w:ascii="仿宋_GB2312" w:hAnsi="仿宋" w:eastAsia="仿宋_GB2312"/>
          <w:sz w:val="32"/>
          <w:szCs w:val="32"/>
        </w:rPr>
        <w:t>市政务服务管理局行政编制10个，工勤编制2个</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实有人数11人</w:t>
      </w:r>
      <w:r>
        <w:rPr>
          <w:rFonts w:hint="eastAsia" w:ascii="仿宋_GB2312" w:hAnsi="仿宋" w:eastAsia="仿宋_GB2312"/>
          <w:sz w:val="32"/>
          <w:szCs w:val="32"/>
        </w:rPr>
        <w:t>；</w:t>
      </w:r>
      <w:r>
        <w:rPr>
          <w:rFonts w:ascii="仿宋_GB2312" w:hAnsi="仿宋" w:eastAsia="仿宋_GB2312"/>
          <w:sz w:val="32"/>
          <w:szCs w:val="32"/>
        </w:rPr>
        <w:t>市政务中心事业编制</w:t>
      </w:r>
      <w:r>
        <w:rPr>
          <w:rFonts w:hint="eastAsia" w:ascii="仿宋_GB2312" w:hAnsi="仿宋" w:eastAsia="仿宋_GB2312"/>
          <w:sz w:val="32"/>
          <w:szCs w:val="32"/>
        </w:rPr>
        <w:t>10</w:t>
      </w:r>
      <w:r>
        <w:rPr>
          <w:rFonts w:ascii="仿宋_GB2312" w:hAnsi="仿宋" w:eastAsia="仿宋_GB2312"/>
          <w:sz w:val="32"/>
          <w:szCs w:val="32"/>
        </w:rPr>
        <w:t>个</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实有人数10人</w:t>
      </w:r>
      <w:r>
        <w:rPr>
          <w:rFonts w:hint="eastAsia" w:ascii="仿宋_GB2312" w:hAnsi="仿宋" w:eastAsia="仿宋_GB2312"/>
          <w:sz w:val="32"/>
          <w:szCs w:val="32"/>
        </w:rPr>
        <w:t>；</w:t>
      </w:r>
      <w:r>
        <w:rPr>
          <w:rFonts w:ascii="仿宋_GB2312" w:hAnsi="仿宋" w:eastAsia="仿宋_GB2312"/>
          <w:sz w:val="32"/>
          <w:szCs w:val="32"/>
        </w:rPr>
        <w:t>市公共资源交易中心编制21个</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实有人数19人</w:t>
      </w:r>
      <w:r>
        <w:rPr>
          <w:rFonts w:ascii="仿宋_GB2312" w:hAnsi="仿宋" w:eastAsia="仿宋_GB2312"/>
          <w:sz w:val="32"/>
          <w:szCs w:val="32"/>
        </w:rPr>
        <w:t>。</w:t>
      </w:r>
    </w:p>
    <w:p w14:paraId="24CEA918">
      <w:pPr>
        <w:pageBreakBefore w:val="0"/>
        <w:widowControl/>
        <w:kinsoku/>
        <w:wordWrap/>
        <w:overflowPunct/>
        <w:topLinePunct w:val="0"/>
        <w:bidi w:val="0"/>
        <w:adjustRightInd w:val="0"/>
        <w:snapToGrid w:val="0"/>
        <w:spacing w:line="578" w:lineRule="exact"/>
        <w:ind w:left="0" w:leftChars="0" w:firstLine="640" w:firstLineChars="200"/>
        <w:contextualSpacing/>
        <w:jc w:val="left"/>
        <w:textAlignment w:val="auto"/>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14:paraId="7EEFB074">
      <w:pPr>
        <w:pageBreakBefore w:val="0"/>
        <w:widowControl/>
        <w:kinsoku/>
        <w:wordWrap/>
        <w:overflowPunct/>
        <w:topLinePunct w:val="0"/>
        <w:bidi w:val="0"/>
        <w:adjustRightInd w:val="0"/>
        <w:snapToGrid w:val="0"/>
        <w:spacing w:line="578" w:lineRule="exact"/>
        <w:ind w:left="0" w:leftChars="0" w:firstLine="643" w:firstLineChars="200"/>
        <w:contextualSpacing/>
        <w:jc w:val="left"/>
        <w:textAlignment w:val="auto"/>
        <w:rPr>
          <w:rFonts w:eastAsia="楷体_GB2312"/>
          <w:b/>
          <w:bCs/>
          <w:color w:val="000000"/>
          <w:kern w:val="0"/>
          <w:szCs w:val="32"/>
          <w:shd w:val="clear" w:color="auto" w:fill="FFFFFF"/>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ascii="仿宋_GB2312" w:hAnsi="仿宋" w:eastAsia="仿宋_GB2312"/>
          <w:sz w:val="32"/>
          <w:szCs w:val="32"/>
        </w:rPr>
        <w:t>市政务服务管理局</w:t>
      </w:r>
      <w:r>
        <w:rPr>
          <w:rFonts w:hint="eastAsia" w:ascii="Times New Roman" w:hAnsi="Times New Roman" w:eastAsia="仿宋_GB2312" w:cs="Times New Roman"/>
          <w:sz w:val="32"/>
          <w:szCs w:val="32"/>
          <w:lang w:val="en-US" w:eastAsia="zh-CN"/>
        </w:rPr>
        <w:t>部门2025年年初预算收入1721.18万元、决算报表收入1696.59万元。</w:t>
      </w:r>
    </w:p>
    <w:p w14:paraId="58406526">
      <w:pPr>
        <w:pageBreakBefore w:val="0"/>
        <w:widowControl/>
        <w:kinsoku/>
        <w:wordWrap/>
        <w:overflowPunct/>
        <w:topLinePunct w:val="0"/>
        <w:bidi w:val="0"/>
        <w:adjustRightInd w:val="0"/>
        <w:snapToGrid w:val="0"/>
        <w:spacing w:line="578" w:lineRule="exact"/>
        <w:ind w:left="0" w:leftChars="0" w:firstLine="643" w:firstLineChars="200"/>
        <w:contextualSpacing/>
        <w:jc w:val="left"/>
        <w:textAlignment w:val="auto"/>
        <w:rPr>
          <w:szCs w:val="32"/>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r>
        <w:rPr>
          <w:rFonts w:ascii="仿宋_GB2312" w:hAnsi="仿宋" w:eastAsia="仿宋_GB2312"/>
          <w:sz w:val="32"/>
          <w:szCs w:val="32"/>
        </w:rPr>
        <w:t>市政务服务管理局</w:t>
      </w:r>
      <w:r>
        <w:rPr>
          <w:rFonts w:hint="eastAsia" w:ascii="Times New Roman" w:hAnsi="Times New Roman" w:eastAsia="仿宋_GB2312" w:cs="Times New Roman"/>
          <w:sz w:val="32"/>
          <w:szCs w:val="32"/>
          <w:lang w:val="en-US" w:eastAsia="zh-CN"/>
        </w:rPr>
        <w:t>部门2025年年初预算支出1721.18万元、决算报表支出1696.59万元。</w:t>
      </w:r>
    </w:p>
    <w:p w14:paraId="1712C5FC">
      <w:pPr>
        <w:pageBreakBefore w:val="0"/>
        <w:widowControl/>
        <w:kinsoku/>
        <w:wordWrap/>
        <w:overflowPunct/>
        <w:topLinePunct w:val="0"/>
        <w:bidi w:val="0"/>
        <w:adjustRightInd w:val="0"/>
        <w:snapToGrid w:val="0"/>
        <w:spacing w:line="578" w:lineRule="exact"/>
        <w:ind w:left="0" w:leftChars="0" w:firstLine="643" w:firstLineChars="200"/>
        <w:contextualSpacing/>
        <w:jc w:val="left"/>
        <w:textAlignment w:val="auto"/>
        <w:rPr>
          <w:rFonts w:eastAsia="仿宋_GB2312"/>
          <w:color w:val="000000"/>
          <w:kern w:val="0"/>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r>
        <w:rPr>
          <w:rFonts w:ascii="仿宋_GB2312" w:hAnsi="仿宋" w:eastAsia="仿宋_GB2312"/>
          <w:sz w:val="32"/>
          <w:szCs w:val="32"/>
        </w:rPr>
        <w:t>市政务服务管理局</w:t>
      </w:r>
      <w:r>
        <w:rPr>
          <w:rFonts w:hint="eastAsia" w:ascii="Times New Roman" w:hAnsi="Times New Roman" w:eastAsia="仿宋_GB2312" w:cs="Times New Roman"/>
          <w:sz w:val="32"/>
          <w:szCs w:val="32"/>
          <w:lang w:val="en-US" w:eastAsia="zh-CN"/>
        </w:rPr>
        <w:t>部门</w:t>
      </w:r>
      <w:r>
        <w:rPr>
          <w:rFonts w:hint="eastAsia" w:eastAsia="仿宋_GB2312"/>
          <w:sz w:val="32"/>
          <w:szCs w:val="32"/>
        </w:rPr>
        <w:t>2025年决算报表</w:t>
      </w:r>
      <w:r>
        <w:rPr>
          <w:rFonts w:hint="eastAsia" w:eastAsia="仿宋_GB2312"/>
          <w:sz w:val="32"/>
          <w:szCs w:val="32"/>
          <w:lang w:val="en-US" w:eastAsia="zh-CN"/>
        </w:rPr>
        <w:t>无</w:t>
      </w:r>
      <w:r>
        <w:rPr>
          <w:rFonts w:eastAsia="仿宋_GB2312"/>
          <w:sz w:val="32"/>
          <w:szCs w:val="32"/>
        </w:rPr>
        <w:t>结转结余</w:t>
      </w:r>
      <w:r>
        <w:rPr>
          <w:rFonts w:hint="eastAsia" w:eastAsia="仿宋_GB2312"/>
          <w:sz w:val="32"/>
          <w:szCs w:val="32"/>
        </w:rPr>
        <w:t>情况</w:t>
      </w:r>
      <w:r>
        <w:rPr>
          <w:rFonts w:eastAsia="仿宋_GB2312"/>
          <w:sz w:val="32"/>
          <w:szCs w:val="32"/>
        </w:rPr>
        <w:t>。</w:t>
      </w:r>
    </w:p>
    <w:p w14:paraId="6F18DADD">
      <w:pPr>
        <w:pageBreakBefore w:val="0"/>
        <w:widowControl/>
        <w:kinsoku/>
        <w:wordWrap/>
        <w:overflowPunct/>
        <w:topLinePunct w:val="0"/>
        <w:bidi w:val="0"/>
        <w:adjustRightInd w:val="0"/>
        <w:snapToGrid w:val="0"/>
        <w:spacing w:line="578" w:lineRule="exact"/>
        <w:ind w:left="0" w:leftChars="0" w:firstLine="640" w:firstLineChars="200"/>
        <w:contextualSpacing/>
        <w:jc w:val="left"/>
        <w:textAlignment w:val="auto"/>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14:paraId="4958D7F8">
      <w:pPr>
        <w:pageBreakBefore w:val="0"/>
        <w:kinsoku/>
        <w:wordWrap/>
        <w:overflowPunct/>
        <w:topLinePunct w:val="0"/>
        <w:bidi w:val="0"/>
        <w:adjustRightInd w:val="0"/>
        <w:snapToGrid w:val="0"/>
        <w:spacing w:line="578" w:lineRule="exact"/>
        <w:ind w:left="0" w:leftChars="0" w:firstLine="643" w:firstLineChars="200"/>
        <w:contextualSpacing/>
        <w:jc w:val="left"/>
        <w:textAlignment w:val="auto"/>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14:paraId="73D91C75">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仿宋_GB2312"/>
          <w:sz w:val="32"/>
          <w:szCs w:val="32"/>
          <w:lang w:val="en-US" w:eastAsia="zh-CN"/>
        </w:rPr>
      </w:pPr>
      <w:r>
        <w:rPr>
          <w:rFonts w:hint="eastAsia" w:eastAsia="仿宋_GB2312" w:cs="仿宋_GB2312"/>
          <w:sz w:val="32"/>
          <w:szCs w:val="32"/>
        </w:rPr>
        <w:t>1.</w:t>
      </w:r>
      <w:r>
        <w:rPr>
          <w:rFonts w:hint="eastAsia" w:eastAsia="仿宋_GB2312" w:cs="仿宋_GB2312"/>
          <w:sz w:val="32"/>
          <w:szCs w:val="32"/>
          <w:lang w:val="zh-CN"/>
        </w:rPr>
        <w:t>履职效能。</w:t>
      </w:r>
      <w:r>
        <w:rPr>
          <w:rFonts w:hint="eastAsia" w:ascii="Times New Roman" w:hAnsi="Times New Roman" w:eastAsia="仿宋_GB2312" w:cs="仿宋_GB2312"/>
          <w:b/>
          <w:bCs/>
          <w:sz w:val="32"/>
          <w:szCs w:val="32"/>
          <w:lang w:val="en-US" w:eastAsia="zh-CN"/>
        </w:rPr>
        <w:t>一是</w:t>
      </w:r>
      <w:r>
        <w:rPr>
          <w:rFonts w:hint="eastAsia" w:ascii="Times New Roman" w:hAnsi="Times New Roman" w:eastAsia="仿宋_GB2312" w:cs="仿宋_GB2312"/>
          <w:sz w:val="32"/>
          <w:szCs w:val="32"/>
          <w:lang w:val="en-US" w:eastAsia="zh-CN"/>
        </w:rPr>
        <w:t>着力政务服务提质赋能，利企便民促发展，全年</w:t>
      </w:r>
      <w:r>
        <w:rPr>
          <w:rFonts w:hint="default" w:ascii="Times New Roman" w:hAnsi="Times New Roman" w:eastAsia="仿宋_GB2312" w:cs="仿宋_GB2312"/>
          <w:sz w:val="32"/>
          <w:szCs w:val="32"/>
          <w:lang w:val="en-US" w:eastAsia="zh-CN"/>
        </w:rPr>
        <w:t>共印发“高效办成一件事”事项清单42个</w:t>
      </w:r>
      <w:r>
        <w:rPr>
          <w:rFonts w:hint="eastAsia" w:ascii="Times New Roman" w:hAnsi="Times New Roman" w:eastAsia="仿宋_GB2312" w:cs="仿宋_GB2312"/>
          <w:sz w:val="32"/>
          <w:szCs w:val="32"/>
          <w:lang w:val="en-US" w:eastAsia="zh-CN"/>
        </w:rPr>
        <w:t>，</w:t>
      </w:r>
      <w:r>
        <w:rPr>
          <w:rFonts w:hint="default" w:ascii="Times New Roman" w:hAnsi="Times New Roman" w:eastAsia="仿宋_GB2312" w:cs="仿宋_GB2312"/>
          <w:sz w:val="32"/>
          <w:szCs w:val="32"/>
          <w:lang w:val="en-US" w:eastAsia="zh-CN"/>
        </w:rPr>
        <w:t>全市“高效办成一件事”共办理10429</w:t>
      </w:r>
      <w:r>
        <w:rPr>
          <w:rFonts w:hint="eastAsia" w:ascii="Times New Roman" w:hAnsi="Times New Roman" w:eastAsia="仿宋_GB2312" w:cs="仿宋_GB2312"/>
          <w:sz w:val="32"/>
          <w:szCs w:val="32"/>
          <w:lang w:val="en-US" w:eastAsia="zh-CN"/>
        </w:rPr>
        <w:t>0</w:t>
      </w:r>
      <w:r>
        <w:rPr>
          <w:rFonts w:hint="default" w:ascii="Times New Roman" w:hAnsi="Times New Roman" w:eastAsia="仿宋_GB2312" w:cs="仿宋_GB2312"/>
          <w:sz w:val="32"/>
          <w:szCs w:val="32"/>
          <w:lang w:val="en-US" w:eastAsia="zh-CN"/>
        </w:rPr>
        <w:t>件</w:t>
      </w:r>
      <w:r>
        <w:rPr>
          <w:rFonts w:hint="eastAsia" w:ascii="Times New Roman" w:hAnsi="Times New Roman" w:eastAsia="仿宋_GB2312" w:cs="仿宋_GB2312"/>
          <w:sz w:val="32"/>
          <w:szCs w:val="32"/>
          <w:lang w:val="en-US" w:eastAsia="zh-CN"/>
        </w:rPr>
        <w:t>，</w:t>
      </w:r>
      <w:r>
        <w:rPr>
          <w:rFonts w:hint="default" w:ascii="Times New Roman" w:hAnsi="Times New Roman" w:eastAsia="仿宋_GB2312" w:cs="仿宋_GB2312"/>
          <w:sz w:val="32"/>
          <w:szCs w:val="32"/>
          <w:lang w:val="en-US" w:eastAsia="zh-CN"/>
        </w:rPr>
        <w:t>9项涉企“一件事”纳入专区受办</w:t>
      </w:r>
      <w:r>
        <w:rPr>
          <w:rFonts w:hint="eastAsia" w:ascii="Times New Roman" w:hAnsi="Times New Roman" w:eastAsia="仿宋_GB2312" w:cs="仿宋_GB2312"/>
          <w:sz w:val="32"/>
          <w:szCs w:val="32"/>
          <w:lang w:val="en-US" w:eastAsia="zh-CN"/>
        </w:rPr>
        <w:t>；印发《全市重点项目预审制工作方案》，</w:t>
      </w:r>
      <w:r>
        <w:rPr>
          <w:rFonts w:hint="default" w:ascii="Times New Roman" w:hAnsi="Times New Roman" w:eastAsia="仿宋_GB2312" w:cs="仿宋_GB2312"/>
          <w:sz w:val="32"/>
          <w:szCs w:val="32"/>
          <w:lang w:val="en-US" w:eastAsia="zh-CN"/>
        </w:rPr>
        <w:t>健全“提前介入+联合预审+容缺受理+并联审批”机制，</w:t>
      </w:r>
      <w:r>
        <w:rPr>
          <w:rFonts w:hint="eastAsia" w:ascii="Times New Roman" w:hAnsi="Times New Roman" w:eastAsia="仿宋_GB2312" w:cs="仿宋_GB2312"/>
          <w:sz w:val="32"/>
          <w:szCs w:val="32"/>
          <w:lang w:val="en-US" w:eastAsia="zh-CN"/>
        </w:rPr>
        <w:t>进一步提升项目审批效率</w:t>
      </w:r>
      <w:r>
        <w:rPr>
          <w:rFonts w:hint="default" w:ascii="Times New Roman" w:hAnsi="Times New Roman" w:eastAsia="仿宋_GB2312" w:cs="仿宋_GB2312"/>
          <w:sz w:val="32"/>
          <w:szCs w:val="32"/>
          <w:lang w:val="en-US" w:eastAsia="zh-CN"/>
        </w:rPr>
        <w:t>，使承诺时限整体压缩69.03%，申请材料缩减60.36%。</w:t>
      </w:r>
      <w:r>
        <w:rPr>
          <w:rFonts w:hint="eastAsia" w:ascii="Times New Roman" w:hAnsi="Times New Roman" w:eastAsia="仿宋_GB2312" w:cs="仿宋_GB2312"/>
          <w:b/>
          <w:bCs/>
          <w:sz w:val="32"/>
          <w:szCs w:val="32"/>
          <w:lang w:val="en-US" w:eastAsia="zh-CN"/>
        </w:rPr>
        <w:t>二是</w:t>
      </w:r>
      <w:r>
        <w:rPr>
          <w:rFonts w:hint="default" w:ascii="Times New Roman" w:hAnsi="Times New Roman" w:eastAsia="仿宋_GB2312" w:cs="仿宋_GB2312"/>
          <w:sz w:val="32"/>
          <w:szCs w:val="32"/>
          <w:lang w:val="en-US" w:eastAsia="zh-CN"/>
        </w:rPr>
        <w:t>聚焦服务企业，推动惠企政策落地见效</w:t>
      </w:r>
      <w:r>
        <w:rPr>
          <w:rFonts w:hint="eastAsia" w:ascii="Times New Roman" w:hAnsi="Times New Roman" w:eastAsia="仿宋_GB2312" w:cs="仿宋_GB2312"/>
          <w:sz w:val="32"/>
          <w:szCs w:val="32"/>
          <w:lang w:val="en-US" w:eastAsia="zh-CN"/>
        </w:rPr>
        <w:t>。开展惠企政策“五项攻关”；制定“直达快享”保障措施。</w:t>
      </w:r>
      <w:r>
        <w:rPr>
          <w:rFonts w:hint="eastAsia" w:ascii="Times New Roman" w:hAnsi="Times New Roman" w:eastAsia="仿宋_GB2312" w:cs="仿宋_GB2312"/>
          <w:b/>
          <w:bCs/>
          <w:sz w:val="32"/>
          <w:szCs w:val="32"/>
          <w:lang w:val="en-US" w:eastAsia="zh-CN"/>
        </w:rPr>
        <w:t>三是</w:t>
      </w:r>
      <w:r>
        <w:rPr>
          <w:rFonts w:hint="default" w:ascii="Times New Roman" w:hAnsi="Times New Roman" w:eastAsia="仿宋_GB2312" w:cs="仿宋_GB2312"/>
          <w:sz w:val="32"/>
          <w:szCs w:val="32"/>
          <w:lang w:val="en-US" w:eastAsia="zh-CN"/>
        </w:rPr>
        <w:t>突出增值增效，从“单一便捷”到“综合赋能”</w:t>
      </w:r>
      <w:r>
        <w:rPr>
          <w:rFonts w:hint="eastAsia" w:ascii="Times New Roman" w:hAnsi="Times New Roman" w:eastAsia="仿宋_GB2312" w:cs="仿宋_GB2312"/>
          <w:sz w:val="32"/>
          <w:szCs w:val="32"/>
          <w:lang w:val="en-US" w:eastAsia="zh-CN"/>
        </w:rPr>
        <w:t>。</w:t>
      </w:r>
      <w:r>
        <w:rPr>
          <w:rFonts w:hint="default" w:ascii="Times New Roman" w:hAnsi="Times New Roman" w:eastAsia="仿宋_GB2312" w:cs="仿宋_GB2312"/>
          <w:sz w:val="32"/>
          <w:szCs w:val="32"/>
          <w:lang w:val="en-US" w:eastAsia="zh-CN"/>
        </w:rPr>
        <w:t>深化</w:t>
      </w:r>
      <w:r>
        <w:rPr>
          <w:rFonts w:hint="eastAsia" w:ascii="Times New Roman" w:hAnsi="Times New Roman" w:eastAsia="仿宋_GB2312" w:cs="仿宋_GB2312"/>
          <w:sz w:val="32"/>
          <w:szCs w:val="32"/>
          <w:lang w:val="en-US" w:eastAsia="zh-CN"/>
        </w:rPr>
        <w:t>特色</w:t>
      </w:r>
      <w:r>
        <w:rPr>
          <w:rFonts w:hint="default" w:ascii="Times New Roman" w:hAnsi="Times New Roman" w:eastAsia="仿宋_GB2312" w:cs="仿宋_GB2312"/>
          <w:sz w:val="32"/>
          <w:szCs w:val="32"/>
          <w:lang w:val="en-US" w:eastAsia="zh-CN"/>
        </w:rPr>
        <w:t>产业增值化改革</w:t>
      </w:r>
      <w:r>
        <w:rPr>
          <w:rFonts w:hint="eastAsia" w:ascii="Times New Roman" w:hAnsi="Times New Roman" w:eastAsia="仿宋_GB2312" w:cs="仿宋_GB2312"/>
          <w:sz w:val="32"/>
          <w:szCs w:val="32"/>
          <w:lang w:val="zh-CN" w:eastAsia="zh-CN"/>
        </w:rPr>
        <w:t>，</w:t>
      </w:r>
      <w:r>
        <w:rPr>
          <w:rFonts w:hint="default" w:ascii="Times New Roman" w:hAnsi="Times New Roman" w:eastAsia="仿宋_GB2312" w:cs="仿宋_GB2312"/>
          <w:sz w:val="32"/>
          <w:szCs w:val="32"/>
          <w:lang w:val="zh-CN"/>
        </w:rPr>
        <w:t>梳理形成《涉企服务事项2025年市级指导目录》</w:t>
      </w:r>
      <w:r>
        <w:rPr>
          <w:rFonts w:hint="eastAsia" w:ascii="Times New Roman" w:hAnsi="Times New Roman" w:eastAsia="仿宋_GB2312" w:cs="仿宋_GB2312"/>
          <w:sz w:val="32"/>
          <w:szCs w:val="32"/>
          <w:lang w:val="zh-CN" w:eastAsia="zh-CN"/>
        </w:rPr>
        <w:t>；</w:t>
      </w:r>
      <w:r>
        <w:rPr>
          <w:rFonts w:hint="default" w:ascii="Times New Roman" w:hAnsi="Times New Roman" w:eastAsia="仿宋_GB2312" w:cs="仿宋_GB2312"/>
          <w:sz w:val="32"/>
          <w:szCs w:val="32"/>
          <w:lang w:val="en-US" w:eastAsia="zh-CN"/>
        </w:rPr>
        <w:t>以“互联网+”串联“基层治理链”，</w:t>
      </w:r>
      <w:r>
        <w:rPr>
          <w:rFonts w:hint="eastAsia" w:ascii="Times New Roman" w:hAnsi="Times New Roman" w:eastAsia="仿宋_GB2312" w:cs="仿宋_GB2312"/>
          <w:sz w:val="32"/>
          <w:szCs w:val="32"/>
          <w:lang w:val="en-US" w:eastAsia="zh-CN"/>
        </w:rPr>
        <w:t>“屏对屏”替代“跑断腿”，</w:t>
      </w:r>
      <w:r>
        <w:rPr>
          <w:rFonts w:hint="default" w:ascii="Times New Roman" w:hAnsi="Times New Roman" w:eastAsia="仿宋_GB2312" w:cs="仿宋_GB2312"/>
          <w:sz w:val="32"/>
          <w:szCs w:val="32"/>
          <w:lang w:val="en-US" w:eastAsia="zh-CN"/>
        </w:rPr>
        <w:t>实现基层减负增效</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b/>
          <w:bCs/>
          <w:sz w:val="32"/>
          <w:szCs w:val="32"/>
          <w:lang w:val="en-US" w:eastAsia="zh-CN"/>
        </w:rPr>
        <w:t>四是</w:t>
      </w:r>
      <w:r>
        <w:rPr>
          <w:rFonts w:hint="default" w:ascii="Times New Roman" w:hAnsi="Times New Roman" w:eastAsia="仿宋_GB2312" w:cs="仿宋_GB2312"/>
          <w:sz w:val="32"/>
          <w:szCs w:val="32"/>
          <w:lang w:val="en-US" w:eastAsia="zh-CN"/>
        </w:rPr>
        <w:t>深化数字应用，</w:t>
      </w:r>
      <w:r>
        <w:rPr>
          <w:rFonts w:hint="eastAsia" w:ascii="Times New Roman" w:hAnsi="Times New Roman" w:eastAsia="仿宋_GB2312" w:cs="仿宋_GB2312"/>
          <w:sz w:val="32"/>
          <w:szCs w:val="32"/>
          <w:lang w:val="en-US" w:eastAsia="zh-CN"/>
        </w:rPr>
        <w:t>持续推进数字政府建设项目攻坚。</w:t>
      </w:r>
      <w:r>
        <w:rPr>
          <w:rFonts w:hint="default" w:ascii="Times New Roman" w:hAnsi="Times New Roman" w:eastAsia="仿宋_GB2312" w:cs="仿宋_GB2312"/>
          <w:sz w:val="32"/>
          <w:szCs w:val="32"/>
          <w:lang w:val="en-US" w:eastAsia="zh-CN"/>
        </w:rPr>
        <w:t>推广电子证照</w:t>
      </w:r>
      <w:r>
        <w:rPr>
          <w:rFonts w:hint="eastAsia" w:ascii="Times New Roman" w:hAnsi="Times New Roman" w:eastAsia="仿宋_GB2312" w:cs="仿宋_GB2312"/>
          <w:sz w:val="32"/>
          <w:szCs w:val="32"/>
          <w:lang w:val="en-US" w:eastAsia="zh-CN"/>
        </w:rPr>
        <w:t>应用，建立数据协调机制，实现营业执照等高频证照电子化全覆盖，汇聚电子证照133类、411万条数据。</w:t>
      </w:r>
      <w:r>
        <w:rPr>
          <w:rFonts w:hint="eastAsia" w:ascii="Times New Roman" w:hAnsi="Times New Roman" w:eastAsia="仿宋_GB2312" w:cs="仿宋_GB2312"/>
          <w:b/>
          <w:bCs/>
          <w:sz w:val="32"/>
          <w:szCs w:val="32"/>
          <w:lang w:val="en-US" w:eastAsia="zh-CN"/>
        </w:rPr>
        <w:t>五是</w:t>
      </w:r>
      <w:r>
        <w:rPr>
          <w:rFonts w:hint="default" w:ascii="Times New Roman" w:hAnsi="Times New Roman" w:eastAsia="仿宋_GB2312" w:cs="仿宋_GB2312"/>
          <w:sz w:val="32"/>
          <w:szCs w:val="32"/>
          <w:lang w:val="zh-CN"/>
        </w:rPr>
        <w:t>聚焦“三个提升”，推动</w:t>
      </w:r>
      <w:r>
        <w:rPr>
          <w:rFonts w:hint="eastAsia" w:ascii="Times New Roman" w:hAnsi="Times New Roman" w:eastAsia="仿宋_GB2312" w:cs="仿宋_GB2312"/>
          <w:sz w:val="32"/>
          <w:szCs w:val="32"/>
          <w:lang w:val="zh-CN" w:eastAsia="zh-CN"/>
        </w:rPr>
        <w:t>公共资源交易高效</w:t>
      </w:r>
      <w:r>
        <w:rPr>
          <w:rFonts w:hint="default" w:ascii="Times New Roman" w:hAnsi="Times New Roman" w:eastAsia="仿宋_GB2312" w:cs="仿宋_GB2312"/>
          <w:sz w:val="32"/>
          <w:szCs w:val="32"/>
          <w:lang w:val="zh-CN"/>
        </w:rPr>
        <w:t>规范</w:t>
      </w:r>
      <w:r>
        <w:rPr>
          <w:rFonts w:hint="eastAsia" w:ascii="Times New Roman" w:hAnsi="Times New Roman" w:eastAsia="仿宋_GB2312" w:cs="仿宋_GB2312"/>
          <w:sz w:val="32"/>
          <w:szCs w:val="32"/>
          <w:lang w:val="zh-CN" w:eastAsia="zh-CN"/>
        </w:rPr>
        <w:t>。全市公共资源交易平台项目受理数822个，交易数732个，受理金额82.16亿元，交易额57.69亿元，节约金额2.47亿元，增收0.1</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lang w:val="zh-CN" w:eastAsia="zh-CN"/>
        </w:rPr>
        <w:t>亿元，为财政增收节支2.6</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lang w:val="zh-CN" w:eastAsia="zh-CN"/>
        </w:rPr>
        <w:t>亿元。</w:t>
      </w:r>
    </w:p>
    <w:p w14:paraId="1AFD9F21">
      <w:pPr>
        <w:pageBreakBefore w:val="0"/>
        <w:kinsoku/>
        <w:wordWrap/>
        <w:overflowPunct/>
        <w:topLinePunct w:val="0"/>
        <w:bidi w:val="0"/>
        <w:adjustRightInd w:val="0"/>
        <w:snapToGrid w:val="0"/>
        <w:spacing w:line="578" w:lineRule="exact"/>
        <w:ind w:left="0" w:leftChars="0"/>
        <w:contextualSpacing/>
        <w:jc w:val="left"/>
        <w:textAlignment w:val="auto"/>
        <w:rPr>
          <w:rFonts w:hint="eastAsia" w:eastAsia="仿宋_GB2312" w:cs="仿宋_GB2312"/>
          <w:sz w:val="32"/>
          <w:szCs w:val="32"/>
          <w:lang w:val="en-US" w:eastAsia="zh-CN"/>
        </w:rPr>
      </w:pPr>
    </w:p>
    <w:p w14:paraId="723D159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eastAsia="仿宋_GB2312" w:cs="仿宋_GB2312"/>
          <w:sz w:val="32"/>
          <w:szCs w:val="32"/>
        </w:rPr>
        <w:t>2.</w:t>
      </w:r>
      <w:r>
        <w:rPr>
          <w:rFonts w:eastAsia="仿宋_GB2312" w:cs="仿宋_GB2312"/>
          <w:sz w:val="32"/>
          <w:szCs w:val="32"/>
          <w:lang w:val="zh-CN"/>
        </w:rPr>
        <w:t>预算管理</w:t>
      </w:r>
      <w:r>
        <w:rPr>
          <w:rFonts w:hint="eastAsia" w:eastAsia="仿宋_GB2312" w:cs="仿宋_GB2312"/>
          <w:sz w:val="32"/>
          <w:szCs w:val="32"/>
          <w:lang w:val="zh-CN"/>
        </w:rPr>
        <w:t>。</w:t>
      </w:r>
      <w:r>
        <w:rPr>
          <w:rFonts w:hint="eastAsia" w:ascii="Times New Roman" w:hAnsi="Times New Roman" w:eastAsia="仿宋_GB2312" w:cs="Times New Roman"/>
          <w:sz w:val="32"/>
          <w:szCs w:val="32"/>
          <w:lang w:val="zh-CN" w:eastAsia="zh-CN"/>
        </w:rPr>
        <w:t>围绕预算编制质量</w:t>
      </w:r>
      <w:r>
        <w:rPr>
          <w:rFonts w:hint="eastAsia" w:ascii="Times New Roman" w:hAnsi="Times New Roman" w:eastAsia="仿宋_GB2312" w:cs="Times New Roman"/>
          <w:sz w:val="32"/>
          <w:szCs w:val="32"/>
          <w:lang w:val="en-US" w:eastAsia="zh-CN"/>
        </w:rPr>
        <w:t>较高，</w:t>
      </w:r>
      <w:r>
        <w:rPr>
          <w:rFonts w:hint="eastAsia" w:ascii="Times New Roman" w:hAnsi="Times New Roman" w:eastAsia="仿宋_GB2312" w:cs="Times New Roman"/>
          <w:sz w:val="32"/>
          <w:szCs w:val="32"/>
          <w:lang w:val="zh-CN" w:eastAsia="zh-CN"/>
        </w:rPr>
        <w:t>单位收入统筹</w:t>
      </w:r>
      <w:r>
        <w:rPr>
          <w:rFonts w:hint="eastAsia" w:ascii="Times New Roman" w:hAnsi="Times New Roman" w:eastAsia="仿宋_GB2312" w:cs="Times New Roman"/>
          <w:sz w:val="32"/>
          <w:szCs w:val="32"/>
          <w:lang w:val="en-US" w:eastAsia="zh-CN"/>
        </w:rPr>
        <w:t>度好，</w:t>
      </w:r>
      <w:r>
        <w:rPr>
          <w:rFonts w:hint="eastAsia" w:ascii="Times New Roman" w:hAnsi="Times New Roman" w:eastAsia="仿宋_GB2312" w:cs="Times New Roman"/>
          <w:sz w:val="32"/>
          <w:szCs w:val="32"/>
          <w:lang w:val="zh-CN" w:eastAsia="zh-CN"/>
        </w:rPr>
        <w:t>支出执行</w:t>
      </w:r>
      <w:r>
        <w:rPr>
          <w:rFonts w:hint="eastAsia" w:ascii="Times New Roman" w:hAnsi="Times New Roman" w:eastAsia="仿宋_GB2312" w:cs="Times New Roman"/>
          <w:sz w:val="32"/>
          <w:szCs w:val="32"/>
          <w:lang w:val="en-US" w:eastAsia="zh-CN"/>
        </w:rPr>
        <w:t>按项目进度有序进行</w:t>
      </w:r>
      <w:r>
        <w:rPr>
          <w:rFonts w:hint="eastAsia" w:ascii="Times New Roman" w:hAnsi="Times New Roman" w:eastAsia="仿宋_GB2312" w:cs="Times New Roman"/>
          <w:sz w:val="32"/>
          <w:szCs w:val="32"/>
          <w:lang w:val="zh-CN" w:eastAsia="zh-CN"/>
        </w:rPr>
        <w:t>，预算年终结余</w:t>
      </w:r>
      <w:r>
        <w:rPr>
          <w:rFonts w:hint="eastAsia" w:ascii="Times New Roman" w:hAnsi="Times New Roman" w:eastAsia="仿宋_GB2312" w:cs="Times New Roman"/>
          <w:sz w:val="32"/>
          <w:szCs w:val="32"/>
          <w:lang w:val="en-US" w:eastAsia="zh-CN"/>
        </w:rPr>
        <w:t>为零，</w:t>
      </w:r>
      <w:r>
        <w:rPr>
          <w:rFonts w:hint="eastAsia" w:ascii="Times New Roman" w:hAnsi="Times New Roman" w:eastAsia="仿宋_GB2312" w:cs="Times New Roman"/>
          <w:sz w:val="32"/>
          <w:szCs w:val="32"/>
          <w:lang w:val="zh-CN" w:eastAsia="zh-CN"/>
        </w:rPr>
        <w:t>严控一般性支出，</w:t>
      </w:r>
      <w:r>
        <w:rPr>
          <w:rFonts w:hint="eastAsia" w:ascii="Times New Roman" w:hAnsi="Times New Roman" w:eastAsia="仿宋_GB2312" w:cs="Times New Roman"/>
          <w:sz w:val="32"/>
          <w:szCs w:val="32"/>
          <w:lang w:val="en-US" w:eastAsia="zh-CN"/>
        </w:rPr>
        <w:t>预算编制科学有效</w:t>
      </w:r>
      <w:r>
        <w:rPr>
          <w:rFonts w:hint="eastAsia" w:ascii="Times New Roman" w:hAnsi="Times New Roman" w:eastAsia="仿宋_GB2312" w:cs="Times New Roman"/>
          <w:sz w:val="32"/>
          <w:szCs w:val="32"/>
          <w:lang w:val="zh-CN" w:eastAsia="zh-CN"/>
        </w:rPr>
        <w:t>。</w:t>
      </w:r>
    </w:p>
    <w:p w14:paraId="59786A8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eastAsia="仿宋_GB2312" w:cs="仿宋_GB2312"/>
          <w:sz w:val="32"/>
          <w:szCs w:val="32"/>
          <w:lang w:val="zh-CN"/>
        </w:rPr>
      </w:pPr>
      <w:r>
        <w:rPr>
          <w:rFonts w:hint="eastAsia" w:eastAsia="仿宋_GB2312" w:cs="仿宋_GB2312"/>
          <w:sz w:val="32"/>
          <w:szCs w:val="32"/>
        </w:rPr>
        <w:t>3.</w:t>
      </w:r>
      <w:r>
        <w:rPr>
          <w:rFonts w:eastAsia="仿宋_GB2312" w:cs="仿宋_GB2312"/>
          <w:sz w:val="32"/>
          <w:szCs w:val="32"/>
          <w:lang w:val="zh-CN"/>
        </w:rPr>
        <w:t>财务管理</w:t>
      </w:r>
      <w:r>
        <w:rPr>
          <w:rFonts w:hint="eastAsia" w:eastAsia="仿宋_GB2312" w:cs="仿宋_GB2312"/>
          <w:sz w:val="32"/>
          <w:szCs w:val="32"/>
          <w:lang w:val="zh-CN"/>
        </w:rPr>
        <w:t>。</w:t>
      </w:r>
      <w:r>
        <w:rPr>
          <w:rFonts w:hint="eastAsia" w:ascii="Times New Roman" w:hAnsi="Times New Roman" w:eastAsia="仿宋_GB2312" w:cs="Times New Roman"/>
          <w:sz w:val="32"/>
          <w:szCs w:val="32"/>
          <w:lang w:val="en-US" w:eastAsia="zh-CN"/>
        </w:rPr>
        <w:t>工作严格按照</w:t>
      </w:r>
      <w:r>
        <w:rPr>
          <w:rFonts w:hint="eastAsia" w:ascii="Times New Roman" w:hAnsi="Times New Roman" w:eastAsia="仿宋_GB2312" w:cs="Times New Roman"/>
          <w:sz w:val="32"/>
          <w:szCs w:val="32"/>
          <w:lang w:val="zh-CN" w:eastAsia="zh-CN"/>
        </w:rPr>
        <w:t>财务管理制度</w:t>
      </w:r>
      <w:r>
        <w:rPr>
          <w:rFonts w:hint="eastAsia" w:ascii="Times New Roman" w:hAnsi="Times New Roman" w:eastAsia="仿宋_GB2312" w:cs="Times New Roman"/>
          <w:sz w:val="32"/>
          <w:szCs w:val="32"/>
          <w:lang w:val="en-US" w:eastAsia="zh-CN"/>
        </w:rPr>
        <w:t>执行</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严肃财经纪律，规范设置</w:t>
      </w:r>
      <w:r>
        <w:rPr>
          <w:rFonts w:hint="eastAsia" w:ascii="Times New Roman" w:hAnsi="Times New Roman" w:eastAsia="仿宋_GB2312" w:cs="Times New Roman"/>
          <w:sz w:val="32"/>
          <w:szCs w:val="32"/>
          <w:lang w:val="zh-CN" w:eastAsia="zh-CN"/>
        </w:rPr>
        <w:t>财务岗位，资金使用规范。</w:t>
      </w:r>
    </w:p>
    <w:p w14:paraId="348962AC">
      <w:pPr>
        <w:pageBreakBefore w:val="0"/>
        <w:kinsoku/>
        <w:wordWrap/>
        <w:overflowPunct/>
        <w:topLinePunct w:val="0"/>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Times New Roman"/>
          <w:sz w:val="32"/>
          <w:szCs w:val="32"/>
          <w:lang w:val="zh-CN" w:eastAsia="zh-CN"/>
        </w:rPr>
      </w:pPr>
      <w:r>
        <w:rPr>
          <w:rFonts w:hint="eastAsia" w:eastAsia="仿宋_GB2312" w:cs="仿宋_GB2312"/>
          <w:sz w:val="32"/>
          <w:szCs w:val="32"/>
        </w:rPr>
        <w:t>4.</w:t>
      </w:r>
      <w:r>
        <w:rPr>
          <w:rFonts w:eastAsia="仿宋_GB2312" w:cs="仿宋_GB2312"/>
          <w:sz w:val="32"/>
          <w:szCs w:val="32"/>
          <w:lang w:val="zh-CN"/>
        </w:rPr>
        <w:t>资产管理</w:t>
      </w:r>
      <w:r>
        <w:rPr>
          <w:rFonts w:hint="eastAsia" w:eastAsia="仿宋_GB2312" w:cs="仿宋_GB2312"/>
          <w:sz w:val="32"/>
          <w:szCs w:val="32"/>
          <w:lang w:val="zh-CN"/>
        </w:rPr>
        <w:t>。</w:t>
      </w:r>
      <w:r>
        <w:rPr>
          <w:rFonts w:hint="eastAsia" w:ascii="Times New Roman" w:hAnsi="Times New Roman" w:eastAsia="仿宋_GB2312" w:cs="Times New Roman"/>
          <w:sz w:val="32"/>
          <w:szCs w:val="32"/>
          <w:lang w:val="zh-CN" w:eastAsia="zh-CN"/>
        </w:rPr>
        <w:t>人均资产变化率为正向增长且控制在目标范围内，未出现资产闲置或过度配置情况。</w:t>
      </w:r>
    </w:p>
    <w:p w14:paraId="67A2ECB6">
      <w:pPr>
        <w:pageBreakBefore w:val="0"/>
        <w:kinsoku/>
        <w:wordWrap/>
        <w:overflowPunct/>
        <w:topLinePunct w:val="0"/>
        <w:bidi w:val="0"/>
        <w:adjustRightInd w:val="0"/>
        <w:snapToGrid w:val="0"/>
        <w:spacing w:line="578" w:lineRule="exact"/>
        <w:ind w:left="0" w:leftChars="0" w:firstLine="640" w:firstLineChars="200"/>
        <w:contextualSpacing/>
        <w:jc w:val="left"/>
        <w:textAlignment w:val="auto"/>
        <w:rPr>
          <w:rFonts w:hint="default" w:eastAsia="仿宋_GB2312" w:cs="仿宋_GB2312"/>
          <w:sz w:val="32"/>
          <w:szCs w:val="32"/>
          <w:lang w:val="en-US" w:eastAsia="zh-CN"/>
        </w:rPr>
      </w:pPr>
      <w:r>
        <w:rPr>
          <w:rFonts w:hint="eastAsia" w:eastAsia="仿宋_GB2312" w:cs="仿宋_GB2312"/>
          <w:sz w:val="32"/>
          <w:szCs w:val="32"/>
        </w:rPr>
        <w:t>5.</w:t>
      </w:r>
      <w:r>
        <w:rPr>
          <w:rFonts w:eastAsia="仿宋_GB2312" w:cs="仿宋_GB2312"/>
          <w:sz w:val="32"/>
          <w:szCs w:val="32"/>
          <w:lang w:val="zh-CN"/>
        </w:rPr>
        <w:t>采购管理</w:t>
      </w:r>
      <w:r>
        <w:rPr>
          <w:rFonts w:hint="eastAsia" w:eastAsia="仿宋_GB2312" w:cs="仿宋_GB2312"/>
          <w:sz w:val="32"/>
          <w:szCs w:val="32"/>
          <w:lang w:val="zh-CN"/>
        </w:rPr>
        <w:t>。</w:t>
      </w:r>
      <w:r>
        <w:rPr>
          <w:rFonts w:hint="eastAsia" w:eastAsia="仿宋_GB2312" w:cs="仿宋_GB2312"/>
          <w:sz w:val="32"/>
          <w:szCs w:val="32"/>
          <w:lang w:val="en-US" w:eastAsia="zh-CN"/>
        </w:rPr>
        <w:t>2025年，公务车维修维护通过“四川政府采购”框架协议中选取中小企业，采购执行率100%。</w:t>
      </w:r>
    </w:p>
    <w:p w14:paraId="670582BD">
      <w:pPr>
        <w:pageBreakBefore w:val="0"/>
        <w:kinsoku/>
        <w:wordWrap/>
        <w:overflowPunct/>
        <w:topLinePunct w:val="0"/>
        <w:bidi w:val="0"/>
        <w:adjustRightInd w:val="0"/>
        <w:snapToGrid w:val="0"/>
        <w:spacing w:line="578" w:lineRule="exact"/>
        <w:ind w:left="0" w:leftChars="0" w:firstLine="643" w:firstLineChars="200"/>
        <w:contextualSpacing/>
        <w:textAlignment w:val="auto"/>
        <w:rPr>
          <w:rFonts w:eastAsia="仿宋_GB2312" w:cs="仿宋_GB2312"/>
          <w:sz w:val="32"/>
          <w:szCs w:val="32"/>
        </w:rPr>
      </w:pPr>
      <w:r>
        <w:rPr>
          <w:rFonts w:eastAsia="楷体_GB2312"/>
          <w:b/>
          <w:bCs/>
          <w:color w:val="000000"/>
          <w:kern w:val="0"/>
          <w:sz w:val="32"/>
          <w:szCs w:val="32"/>
          <w:shd w:val="clear" w:color="auto" w:fill="FFFFFF"/>
          <w:lang w:val="zh-CN"/>
        </w:rPr>
        <w:t>（二）部门预算项目绩效分析。</w:t>
      </w:r>
    </w:p>
    <w:p w14:paraId="1BB1F712">
      <w:pPr>
        <w:pageBreakBefore w:val="0"/>
        <w:kinsoku/>
        <w:wordWrap/>
        <w:overflowPunct/>
        <w:topLinePunct w:val="0"/>
        <w:bidi w:val="0"/>
        <w:adjustRightInd w:val="0"/>
        <w:snapToGrid w:val="0"/>
        <w:spacing w:line="578" w:lineRule="exact"/>
        <w:ind w:left="0" w:leftChars="0" w:firstLine="640" w:firstLineChars="200"/>
        <w:contextualSpacing/>
        <w:textAlignment w:val="auto"/>
        <w:rPr>
          <w:rFonts w:eastAsia="仿宋_GB2312" w:cs="仿宋_GB2312"/>
          <w:sz w:val="32"/>
          <w:szCs w:val="32"/>
          <w:lang w:val="zh-CN"/>
        </w:rPr>
      </w:pPr>
      <w:r>
        <w:rPr>
          <w:rFonts w:eastAsia="仿宋_GB2312" w:cs="仿宋_GB2312"/>
          <w:sz w:val="32"/>
          <w:szCs w:val="32"/>
        </w:rPr>
        <w:t>常年项目绩效分析。</w:t>
      </w:r>
      <w:r>
        <w:rPr>
          <w:rFonts w:eastAsia="仿宋_GB2312" w:cs="仿宋_GB2312"/>
          <w:sz w:val="32"/>
          <w:szCs w:val="32"/>
          <w:lang w:val="zh-CN"/>
        </w:rPr>
        <w:t>该类项目总数</w:t>
      </w:r>
      <w:r>
        <w:rPr>
          <w:rFonts w:hint="eastAsia" w:eastAsia="仿宋_GB2312" w:cs="仿宋_GB2312"/>
          <w:sz w:val="32"/>
          <w:szCs w:val="32"/>
          <w:lang w:val="en-US" w:eastAsia="zh-CN"/>
        </w:rPr>
        <w:t>7</w:t>
      </w:r>
      <w:r>
        <w:rPr>
          <w:rFonts w:eastAsia="仿宋_GB2312" w:cs="仿宋_GB2312"/>
          <w:sz w:val="32"/>
          <w:szCs w:val="32"/>
          <w:lang w:val="zh-CN"/>
        </w:rPr>
        <w:t>个，涉及预算总金额</w:t>
      </w:r>
      <w:r>
        <w:rPr>
          <w:rFonts w:hint="eastAsia" w:eastAsia="仿宋_GB2312" w:cs="仿宋_GB2312"/>
          <w:sz w:val="32"/>
          <w:szCs w:val="32"/>
          <w:lang w:val="en-US" w:eastAsia="zh-CN"/>
        </w:rPr>
        <w:t>554.01</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lang w:val="en-US" w:eastAsia="zh-CN"/>
        </w:rPr>
        <w:t>100</w:t>
      </w:r>
      <w:r>
        <w:rPr>
          <w:rFonts w:eastAsia="仿宋_GB2312" w:cs="仿宋_GB2312"/>
          <w:sz w:val="32"/>
          <w:szCs w:val="32"/>
          <w:lang w:val="zh-CN"/>
        </w:rPr>
        <w:t>%。</w:t>
      </w:r>
    </w:p>
    <w:p w14:paraId="17907D28">
      <w:pPr>
        <w:pageBreakBefore w:val="0"/>
        <w:kinsoku/>
        <w:wordWrap/>
        <w:overflowPunct/>
        <w:topLinePunct w:val="0"/>
        <w:bidi w:val="0"/>
        <w:adjustRightInd w:val="0"/>
        <w:snapToGrid w:val="0"/>
        <w:spacing w:line="578" w:lineRule="exact"/>
        <w:ind w:left="0" w:leftChars="0" w:firstLine="640" w:firstLineChars="200"/>
        <w:contextualSpacing/>
        <w:textAlignment w:val="auto"/>
        <w:rPr>
          <w:rFonts w:eastAsia="仿宋_GB2312" w:cs="仿宋_GB2312"/>
          <w:sz w:val="32"/>
          <w:szCs w:val="32"/>
          <w:lang w:val="zh-CN"/>
        </w:rPr>
      </w:pPr>
      <w:r>
        <w:rPr>
          <w:rFonts w:eastAsia="仿宋_GB2312" w:cs="仿宋_GB2312"/>
          <w:sz w:val="32"/>
          <w:szCs w:val="32"/>
        </w:rPr>
        <w:t>阶段</w:t>
      </w:r>
      <w:r>
        <w:rPr>
          <w:rFonts w:hint="eastAsia" w:eastAsia="仿宋_GB2312" w:cs="仿宋_GB2312"/>
          <w:sz w:val="32"/>
          <w:szCs w:val="32"/>
        </w:rPr>
        <w:t>（</w:t>
      </w:r>
      <w:r>
        <w:rPr>
          <w:rFonts w:eastAsia="仿宋_GB2312" w:cs="仿宋_GB2312"/>
          <w:sz w:val="32"/>
          <w:szCs w:val="32"/>
        </w:rPr>
        <w:t>一次性</w:t>
      </w:r>
      <w:r>
        <w:rPr>
          <w:rFonts w:hint="eastAsia" w:eastAsia="仿宋_GB2312" w:cs="仿宋_GB2312"/>
          <w:sz w:val="32"/>
          <w:szCs w:val="32"/>
        </w:rPr>
        <w:t>）</w:t>
      </w:r>
      <w:r>
        <w:rPr>
          <w:rFonts w:eastAsia="仿宋_GB2312" w:cs="仿宋_GB2312"/>
          <w:sz w:val="32"/>
          <w:szCs w:val="32"/>
        </w:rPr>
        <w:t>项目绩效分析。</w:t>
      </w:r>
      <w:r>
        <w:rPr>
          <w:rFonts w:eastAsia="仿宋_GB2312" w:cs="仿宋_GB2312"/>
          <w:sz w:val="32"/>
          <w:szCs w:val="32"/>
          <w:lang w:val="zh-CN"/>
        </w:rPr>
        <w:t>该类项目总数</w:t>
      </w:r>
      <w:r>
        <w:rPr>
          <w:rFonts w:hint="eastAsia" w:eastAsia="仿宋_GB2312" w:cs="仿宋_GB2312"/>
          <w:sz w:val="32"/>
          <w:szCs w:val="32"/>
          <w:lang w:val="en-US" w:eastAsia="zh-CN"/>
        </w:rPr>
        <w:t>3</w:t>
      </w:r>
      <w:r>
        <w:rPr>
          <w:rFonts w:eastAsia="仿宋_GB2312" w:cs="仿宋_GB2312"/>
          <w:sz w:val="32"/>
          <w:szCs w:val="32"/>
          <w:lang w:val="zh-CN"/>
        </w:rPr>
        <w:t>个，涉及预算总金额</w:t>
      </w:r>
      <w:r>
        <w:rPr>
          <w:rFonts w:hint="eastAsia" w:eastAsia="仿宋_GB2312" w:cs="仿宋_GB2312"/>
          <w:sz w:val="32"/>
          <w:szCs w:val="32"/>
          <w:lang w:val="en-US" w:eastAsia="zh-CN"/>
        </w:rPr>
        <w:t>21.62</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lang w:val="en-US" w:eastAsia="zh-CN"/>
        </w:rPr>
        <w:t>100</w:t>
      </w:r>
      <w:r>
        <w:rPr>
          <w:rFonts w:eastAsia="仿宋_GB2312" w:cs="仿宋_GB2312"/>
          <w:sz w:val="32"/>
          <w:szCs w:val="32"/>
          <w:lang w:val="zh-CN"/>
        </w:rPr>
        <w:t>%。</w:t>
      </w:r>
    </w:p>
    <w:p w14:paraId="4C1885C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default" w:ascii="楷体_GB2312" w:hAnsi="楷体_GB2312" w:eastAsia="楷体_GB2312" w:cs="楷体_GB2312"/>
          <w:color w:val="000000"/>
          <w:kern w:val="0"/>
          <w:sz w:val="32"/>
          <w:szCs w:val="32"/>
          <w:highlight w:val="none"/>
          <w:shd w:val="clear" w:color="auto" w:fill="FFFFFF"/>
          <w:lang w:val="en-US"/>
        </w:rPr>
      </w:pPr>
      <w:r>
        <w:rPr>
          <w:rFonts w:hint="eastAsia" w:ascii="楷体_GB2312" w:hAnsi="楷体_GB2312" w:eastAsia="楷体_GB2312" w:cs="楷体_GB2312"/>
          <w:color w:val="000000"/>
          <w:kern w:val="0"/>
          <w:sz w:val="32"/>
          <w:szCs w:val="32"/>
          <w:highlight w:val="none"/>
          <w:shd w:val="clear" w:color="auto" w:fill="FFFFFF"/>
          <w:lang w:val="en-US" w:eastAsia="zh-CN"/>
        </w:rPr>
        <w:t>1.</w:t>
      </w:r>
      <w:r>
        <w:rPr>
          <w:rFonts w:hint="eastAsia" w:ascii="楷体_GB2312" w:hAnsi="楷体_GB2312" w:eastAsia="楷体_GB2312" w:cs="楷体_GB2312"/>
          <w:color w:val="000000"/>
          <w:kern w:val="0"/>
          <w:sz w:val="32"/>
          <w:szCs w:val="32"/>
          <w:highlight w:val="none"/>
          <w:shd w:val="clear" w:color="auto" w:fill="FFFFFF"/>
          <w:lang w:val="zh-CN"/>
        </w:rPr>
        <w:t>项目决策</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项目设立决策科学有效，目标设置包括保单位运转及完成项目既定任务。</w:t>
      </w:r>
    </w:p>
    <w:p w14:paraId="36C4256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2.项目执行</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楷体_GB2312" w:hAnsi="楷体_GB2312" w:eastAsia="楷体_GB2312" w:cs="楷体_GB2312"/>
          <w:color w:val="000000"/>
          <w:kern w:val="0"/>
          <w:sz w:val="32"/>
          <w:szCs w:val="32"/>
          <w:highlight w:val="none"/>
          <w:shd w:val="clear" w:color="auto" w:fill="FFFFFF"/>
          <w:lang w:val="en-US" w:eastAsia="zh-CN"/>
        </w:rPr>
        <w:t>项目</w:t>
      </w:r>
      <w:r>
        <w:rPr>
          <w:rFonts w:hint="eastAsia" w:ascii="Times New Roman" w:hAnsi="Times New Roman" w:eastAsia="仿宋_GB2312" w:cs="Times New Roman"/>
          <w:sz w:val="32"/>
          <w:szCs w:val="32"/>
          <w:lang w:val="zh-CN" w:eastAsia="zh-CN"/>
        </w:rPr>
        <w:t>资金</w:t>
      </w:r>
      <w:r>
        <w:rPr>
          <w:rFonts w:hint="eastAsia" w:ascii="Times New Roman" w:hAnsi="Times New Roman" w:eastAsia="仿宋_GB2312" w:cs="Times New Roman"/>
          <w:sz w:val="32"/>
          <w:szCs w:val="32"/>
          <w:lang w:val="en-US" w:eastAsia="zh-CN"/>
        </w:rPr>
        <w:t>按照项目</w:t>
      </w:r>
      <w:r>
        <w:rPr>
          <w:rFonts w:hint="eastAsia" w:ascii="Times New Roman" w:hAnsi="Times New Roman" w:eastAsia="仿宋_GB2312" w:cs="Times New Roman"/>
          <w:sz w:val="32"/>
          <w:szCs w:val="32"/>
          <w:lang w:val="zh-CN" w:eastAsia="zh-CN"/>
        </w:rPr>
        <w:t>执行</w:t>
      </w:r>
      <w:r>
        <w:rPr>
          <w:rFonts w:hint="eastAsia" w:ascii="Times New Roman" w:hAnsi="Times New Roman" w:eastAsia="仿宋_GB2312" w:cs="Times New Roman"/>
          <w:sz w:val="32"/>
          <w:szCs w:val="32"/>
          <w:lang w:val="en-US" w:eastAsia="zh-CN"/>
        </w:rPr>
        <w:t>进度同向支付</w:t>
      </w:r>
      <w:r>
        <w:rPr>
          <w:rFonts w:hint="eastAsia" w:ascii="Times New Roman" w:hAnsi="Times New Roman" w:eastAsia="仿宋_GB2312" w:cs="Times New Roman"/>
          <w:sz w:val="32"/>
          <w:szCs w:val="32"/>
          <w:lang w:val="zh-CN" w:eastAsia="zh-CN"/>
        </w:rPr>
        <w:t>、执行结果</w:t>
      </w:r>
      <w:r>
        <w:rPr>
          <w:rFonts w:hint="eastAsia" w:ascii="Times New Roman" w:hAnsi="Times New Roman" w:eastAsia="仿宋_GB2312" w:cs="Times New Roman"/>
          <w:sz w:val="32"/>
          <w:szCs w:val="32"/>
          <w:lang w:val="en-US" w:eastAsia="zh-CN"/>
        </w:rPr>
        <w:t>好</w:t>
      </w:r>
      <w:r>
        <w:rPr>
          <w:rFonts w:hint="eastAsia" w:ascii="Times New Roman" w:hAnsi="Times New Roman" w:eastAsia="仿宋_GB2312" w:cs="Times New Roman"/>
          <w:sz w:val="32"/>
          <w:szCs w:val="32"/>
          <w:lang w:val="zh-CN" w:eastAsia="zh-CN"/>
        </w:rPr>
        <w:t>。</w:t>
      </w:r>
    </w:p>
    <w:p w14:paraId="467D8211">
      <w:pPr>
        <w:pStyle w:val="2"/>
        <w:pageBreakBefore w:val="0"/>
        <w:kinsoku/>
        <w:wordWrap/>
        <w:overflowPunct/>
        <w:topLinePunct w:val="0"/>
        <w:bidi w:val="0"/>
        <w:spacing w:beforeLines="0"/>
        <w:ind w:left="0" w:leftChars="0" w:firstLine="640" w:firstLineChars="200"/>
        <w:textAlignment w:val="auto"/>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3.</w:t>
      </w:r>
      <w:r>
        <w:rPr>
          <w:rFonts w:hint="eastAsia" w:ascii="楷体_GB2312" w:hAnsi="楷体_GB2312" w:eastAsia="楷体_GB2312" w:cs="楷体_GB2312"/>
          <w:color w:val="000000"/>
          <w:kern w:val="0"/>
          <w:sz w:val="32"/>
          <w:szCs w:val="32"/>
          <w:highlight w:val="none"/>
          <w:shd w:val="clear" w:color="auto" w:fill="FFFFFF"/>
          <w:lang w:val="zh-CN"/>
        </w:rPr>
        <w:t>目标实现。</w:t>
      </w:r>
      <w:r>
        <w:rPr>
          <w:rFonts w:hint="eastAsia" w:ascii="Times New Roman" w:hAnsi="Times New Roman" w:eastAsia="仿宋_GB2312" w:cs="Times New Roman"/>
          <w:sz w:val="32"/>
          <w:szCs w:val="32"/>
          <w:lang w:val="en-US" w:eastAsia="zh-CN"/>
        </w:rPr>
        <w:t>项目目标实现</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color w:val="auto"/>
          <w:kern w:val="2"/>
          <w:sz w:val="32"/>
          <w:szCs w:val="32"/>
          <w:lang w:val="en-US" w:eastAsia="zh-CN" w:bidi="ar-SA"/>
        </w:rPr>
        <w:t>项目预算执行率100%，项目无结余资金和违规记录。</w:t>
      </w:r>
    </w:p>
    <w:p w14:paraId="54D8DA9C">
      <w:pPr>
        <w:pStyle w:val="2"/>
        <w:pageBreakBefore w:val="0"/>
        <w:kinsoku/>
        <w:wordWrap/>
        <w:overflowPunct/>
        <w:topLinePunct w:val="0"/>
        <w:bidi w:val="0"/>
        <w:spacing w:beforeLines="0"/>
        <w:ind w:left="0" w:leftChars="0" w:firstLine="643" w:firstLineChars="200"/>
        <w:textAlignment w:val="auto"/>
        <w:rPr>
          <w:rFonts w:eastAsia="仿宋_GB2312" w:cs="仿宋_GB2312"/>
          <w:sz w:val="32"/>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r>
        <w:rPr>
          <w:rFonts w:hint="eastAsia" w:hAnsi="仿宋_GB2312" w:cs="仿宋_GB2312"/>
          <w:sz w:val="32"/>
          <w:szCs w:val="32"/>
          <w:shd w:val="clear" w:color="auto" w:fill="FFFFFF"/>
        </w:rPr>
        <w:t>项目按照绩效目标开展，自评按照要求公开，无问题整改。</w:t>
      </w:r>
    </w:p>
    <w:p w14:paraId="6A79D84D">
      <w:pPr>
        <w:pageBreakBefore w:val="0"/>
        <w:widowControl/>
        <w:kinsoku/>
        <w:wordWrap/>
        <w:overflowPunct/>
        <w:topLinePunct w:val="0"/>
        <w:bidi w:val="0"/>
        <w:adjustRightInd w:val="0"/>
        <w:snapToGrid w:val="0"/>
        <w:spacing w:line="578" w:lineRule="exact"/>
        <w:ind w:left="0" w:leftChars="0" w:firstLine="640" w:firstLineChars="200"/>
        <w:contextualSpacing/>
        <w:jc w:val="left"/>
        <w:textAlignment w:val="auto"/>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14:paraId="47975415">
      <w:pPr>
        <w:pStyle w:val="9"/>
        <w:pageBreakBefore w:val="0"/>
        <w:kinsoku/>
        <w:wordWrap/>
        <w:overflowPunct/>
        <w:topLinePunct w:val="0"/>
        <w:bidi w:val="0"/>
        <w:spacing w:line="600" w:lineRule="exact"/>
        <w:ind w:left="0" w:leftChars="0" w:firstLine="643" w:firstLineChars="200"/>
        <w:jc w:val="left"/>
        <w:textAlignment w:val="auto"/>
        <w:rPr>
          <w:rFonts w:eastAsia="仿宋_GB2312"/>
          <w:sz w:val="32"/>
          <w:szCs w:val="32"/>
          <w:lang w:bidi="ar"/>
        </w:rPr>
      </w:pPr>
      <w:r>
        <w:rPr>
          <w:rFonts w:eastAsia="楷体_GB2312"/>
          <w:b/>
          <w:bCs/>
          <w:color w:val="000000"/>
          <w:kern w:val="0"/>
          <w:sz w:val="32"/>
          <w:szCs w:val="32"/>
          <w:shd w:val="clear" w:color="auto" w:fill="FFFFFF"/>
          <w:lang w:val="zh-CN"/>
        </w:rPr>
        <w:t>（一）评价结论。</w:t>
      </w:r>
      <w:r>
        <w:rPr>
          <w:rFonts w:hint="eastAsia" w:ascii="仿宋_GB2312" w:hAnsi="Times New Roman" w:eastAsia="仿宋_GB2312"/>
          <w:sz w:val="32"/>
          <w:szCs w:val="32"/>
        </w:rPr>
        <w:t>年度预算及项目绩效全面完成</w:t>
      </w: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自评得分97.5分</w:t>
      </w:r>
      <w:r>
        <w:rPr>
          <w:rFonts w:hint="eastAsia" w:ascii="仿宋_GB2312" w:hAnsi="Times New Roman" w:eastAsia="仿宋_GB2312"/>
          <w:sz w:val="32"/>
          <w:szCs w:val="32"/>
        </w:rPr>
        <w:t>。</w:t>
      </w:r>
    </w:p>
    <w:p w14:paraId="6710E020">
      <w:pPr>
        <w:pageBreakBefore w:val="0"/>
        <w:widowControl/>
        <w:kinsoku/>
        <w:wordWrap/>
        <w:overflowPunct/>
        <w:topLinePunct w:val="0"/>
        <w:bidi w:val="0"/>
        <w:adjustRightInd w:val="0"/>
        <w:snapToGrid w:val="0"/>
        <w:spacing w:line="578" w:lineRule="exact"/>
        <w:ind w:left="0" w:leftChars="0" w:firstLine="643" w:firstLineChars="200"/>
        <w:contextualSpacing/>
        <w:jc w:val="left"/>
        <w:textAlignment w:val="auto"/>
        <w:rPr>
          <w:rFonts w:hint="eastAsia" w:eastAsia="仿宋_GB2312"/>
          <w:sz w:val="32"/>
          <w:szCs w:val="32"/>
          <w:lang w:val="en-US" w:eastAsia="zh-CN" w:bidi="ar"/>
        </w:rPr>
      </w:pPr>
      <w:r>
        <w:rPr>
          <w:rFonts w:eastAsia="楷体_GB2312"/>
          <w:b/>
          <w:bCs/>
          <w:color w:val="000000"/>
          <w:kern w:val="0"/>
          <w:sz w:val="32"/>
          <w:szCs w:val="32"/>
          <w:shd w:val="clear" w:color="auto" w:fill="FFFFFF"/>
          <w:lang w:val="zh-CN"/>
        </w:rPr>
        <w:t>（二）存在问题。</w:t>
      </w:r>
      <w:r>
        <w:rPr>
          <w:rFonts w:hint="eastAsia" w:eastAsia="仿宋_GB2312"/>
          <w:sz w:val="32"/>
          <w:szCs w:val="32"/>
          <w:lang w:val="en-US" w:eastAsia="zh-CN" w:bidi="ar"/>
        </w:rPr>
        <w:t>无</w:t>
      </w:r>
    </w:p>
    <w:p w14:paraId="746DD152">
      <w:pPr>
        <w:pageBreakBefore w:val="0"/>
        <w:widowControl/>
        <w:kinsoku/>
        <w:wordWrap/>
        <w:overflowPunct/>
        <w:topLinePunct w:val="0"/>
        <w:bidi w:val="0"/>
        <w:adjustRightInd w:val="0"/>
        <w:snapToGrid w:val="0"/>
        <w:spacing w:line="578" w:lineRule="exact"/>
        <w:ind w:left="0" w:leftChars="0" w:firstLine="643" w:firstLineChars="200"/>
        <w:contextualSpacing/>
        <w:jc w:val="left"/>
        <w:textAlignment w:val="auto"/>
        <w:rPr>
          <w:rFonts w:hint="eastAsia" w:eastAsia="楷体_GB2312"/>
          <w:sz w:val="32"/>
          <w:szCs w:val="32"/>
          <w:lang w:val="en-US" w:eastAsia="zh-CN" w:bidi="ar"/>
        </w:rPr>
      </w:pPr>
      <w:r>
        <w:rPr>
          <w:rFonts w:eastAsia="楷体_GB2312"/>
          <w:b/>
          <w:bCs/>
          <w:color w:val="000000"/>
          <w:kern w:val="0"/>
          <w:sz w:val="32"/>
          <w:szCs w:val="32"/>
          <w:shd w:val="clear" w:color="auto" w:fill="FFFFFF"/>
          <w:lang w:val="zh-CN"/>
        </w:rPr>
        <w:t>（三）改进建议。</w:t>
      </w:r>
      <w:bookmarkStart w:id="59" w:name="_Hlk110546638"/>
      <w:r>
        <w:rPr>
          <w:rFonts w:hint="eastAsia" w:eastAsia="楷体_GB2312"/>
          <w:b/>
          <w:bCs/>
          <w:color w:val="000000"/>
          <w:kern w:val="0"/>
          <w:sz w:val="32"/>
          <w:szCs w:val="32"/>
          <w:shd w:val="clear" w:color="auto" w:fill="FFFFFF"/>
          <w:lang w:val="en-US" w:eastAsia="zh-CN"/>
        </w:rPr>
        <w:t>无</w:t>
      </w:r>
    </w:p>
    <w:bookmarkEnd w:id="59"/>
    <w:p w14:paraId="6288B424">
      <w:pPr>
        <w:pStyle w:val="7"/>
        <w:pageBreakBefore w:val="0"/>
        <w:kinsoku/>
        <w:wordWrap/>
        <w:overflowPunct/>
        <w:topLinePunct w:val="0"/>
        <w:bidi w:val="0"/>
        <w:spacing w:after="0" w:line="560" w:lineRule="exact"/>
        <w:ind w:left="0" w:leftChars="0" w:firstLine="640"/>
        <w:textAlignment w:val="auto"/>
        <w:rPr>
          <w:rFonts w:ascii="Times New Roman" w:eastAsia="仿宋_GB2312"/>
          <w:sz w:val="32"/>
          <w:lang w:val="zh-CN" w:bidi="ar"/>
        </w:rPr>
      </w:pPr>
    </w:p>
    <w:p w14:paraId="0CC1017F">
      <w:pPr>
        <w:pStyle w:val="7"/>
        <w:pageBreakBefore w:val="0"/>
        <w:kinsoku/>
        <w:wordWrap/>
        <w:overflowPunct/>
        <w:topLinePunct w:val="0"/>
        <w:bidi w:val="0"/>
        <w:spacing w:after="0" w:line="560" w:lineRule="exact"/>
        <w:ind w:left="0" w:leftChars="0" w:firstLine="640"/>
        <w:textAlignment w:val="auto"/>
        <w:rPr>
          <w:rFonts w:hint="default" w:ascii="Times New Roman" w:eastAsia="仿宋_GB2312"/>
          <w:sz w:val="32"/>
          <w:lang w:val="en-US" w:eastAsia="zh-CN" w:bidi="ar"/>
        </w:rPr>
      </w:pPr>
      <w:r>
        <w:rPr>
          <w:rFonts w:hint="eastAsia" w:ascii="Times New Roman" w:eastAsia="仿宋_GB2312"/>
          <w:sz w:val="32"/>
          <w:lang w:val="zh-CN" w:bidi="ar"/>
        </w:rPr>
        <w:t>附表：</w:t>
      </w:r>
      <w:r>
        <w:rPr>
          <w:rFonts w:hint="eastAsia" w:ascii="Times New Roman" w:eastAsia="仿宋_GB2312"/>
          <w:sz w:val="32"/>
          <w:lang w:bidi="ar"/>
        </w:rPr>
        <w:t>部门预算项目支出绩效自评表（2025年度）</w:t>
      </w:r>
      <w:r>
        <w:rPr>
          <w:rFonts w:hint="eastAsia" w:ascii="Times New Roman" w:eastAsia="仿宋_GB2312"/>
          <w:sz w:val="32"/>
          <w:lang w:val="en-US" w:eastAsia="zh-CN" w:bidi="ar"/>
        </w:rPr>
        <w:t xml:space="preserve"> 见附件3</w:t>
      </w:r>
    </w:p>
    <w:p w14:paraId="152849F3">
      <w:pPr>
        <w:pStyle w:val="7"/>
        <w:pageBreakBefore w:val="0"/>
        <w:kinsoku/>
        <w:wordWrap/>
        <w:overflowPunct/>
        <w:topLinePunct w:val="0"/>
        <w:bidi w:val="0"/>
        <w:spacing w:after="0" w:line="560" w:lineRule="exact"/>
        <w:ind w:left="0" w:leftChars="0" w:firstLine="0" w:firstLineChars="0"/>
        <w:textAlignment w:val="auto"/>
        <w:rPr>
          <w:rFonts w:ascii="Times New Roman"/>
          <w:sz w:val="32"/>
          <w:highlight w:val="yellow"/>
          <w:lang w:val="zh-CN"/>
        </w:rPr>
      </w:pPr>
    </w:p>
    <w:p w14:paraId="49924F9A">
      <w:pPr>
        <w:pStyle w:val="2"/>
        <w:pageBreakBefore w:val="0"/>
        <w:kinsoku/>
        <w:wordWrap/>
        <w:overflowPunct/>
        <w:topLinePunct w:val="0"/>
        <w:bidi w:val="0"/>
        <w:spacing w:beforeLines="0"/>
        <w:ind w:left="0" w:leftChars="0"/>
        <w:textAlignment w:val="auto"/>
        <w:rPr>
          <w:rFonts w:ascii="Times New Roman" w:cs="宋体"/>
          <w:color w:val="FF0000"/>
          <w:sz w:val="32"/>
          <w:szCs w:val="32"/>
          <w:highlight w:val="yellow"/>
          <w:shd w:val="clear" w:color="auto" w:fill="FFFFFF"/>
          <w:lang w:val="zh-CN"/>
        </w:rPr>
      </w:pPr>
    </w:p>
    <w:p w14:paraId="76D2ED8F">
      <w:pPr>
        <w:pageBreakBefore w:val="0"/>
        <w:kinsoku/>
        <w:wordWrap/>
        <w:overflowPunct/>
        <w:topLinePunct w:val="0"/>
        <w:bidi w:val="0"/>
        <w:ind w:left="0" w:leftChars="0"/>
        <w:textAlignment w:val="auto"/>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6DF51399">
      <w:pPr>
        <w:pageBreakBefore w:val="0"/>
        <w:kinsoku/>
        <w:wordWrap/>
        <w:overflowPunct/>
        <w:topLinePunct w:val="0"/>
        <w:bidi w:val="0"/>
        <w:spacing w:line="578" w:lineRule="exact"/>
        <w:ind w:left="0" w:leftChars="0" w:firstLine="640"/>
        <w:textAlignment w:val="auto"/>
        <w:rPr>
          <w:rFonts w:eastAsia="仿宋_GB2312" w:cs="仿宋_GB2312"/>
          <w:kern w:val="0"/>
          <w:sz w:val="32"/>
          <w:szCs w:val="32"/>
        </w:rPr>
      </w:pPr>
      <w:bookmarkStart w:id="60" w:name="_Toc15396618"/>
    </w:p>
    <w:p w14:paraId="63E6D994">
      <w:pPr>
        <w:pageBreakBefore w:val="0"/>
        <w:widowControl/>
        <w:kinsoku/>
        <w:wordWrap/>
        <w:overflowPunct/>
        <w:topLinePunct w:val="0"/>
        <w:bidi w:val="0"/>
        <w:ind w:left="0" w:leftChars="0"/>
        <w:jc w:val="center"/>
        <w:textAlignment w:val="auto"/>
        <w:rPr>
          <w:rFonts w:eastAsia="仿宋"/>
        </w:rPr>
      </w:pPr>
      <w:r>
        <w:rPr>
          <w:rFonts w:hint="eastAsia" w:eastAsia="黑体"/>
          <w:sz w:val="44"/>
          <w:szCs w:val="44"/>
        </w:rPr>
        <w:t>第</w:t>
      </w:r>
      <w:r>
        <w:rPr>
          <w:rStyle w:val="30"/>
          <w:rFonts w:hint="eastAsia" w:eastAsia="黑体"/>
          <w:b w:val="0"/>
        </w:rPr>
        <w:t>五部分 附表</w:t>
      </w:r>
      <w:bookmarkEnd w:id="57"/>
      <w:bookmarkEnd w:id="60"/>
      <w:bookmarkStart w:id="61" w:name="_Toc15396619"/>
    </w:p>
    <w:p w14:paraId="1FC747BC">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p>
    <w:p w14:paraId="7661C37B">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r>
        <w:rPr>
          <w:rFonts w:hint="eastAsia" w:eastAsia="仿宋_GB2312" w:cs="仿宋_GB2312"/>
          <w:sz w:val="32"/>
          <w:szCs w:val="32"/>
        </w:rPr>
        <w:t>一、收入支出决算总表</w:t>
      </w:r>
      <w:bookmarkEnd w:id="61"/>
    </w:p>
    <w:p w14:paraId="562CDC5E">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2" w:name="_Toc15396620"/>
      <w:r>
        <w:rPr>
          <w:rFonts w:hint="eastAsia" w:eastAsia="仿宋_GB2312" w:cs="仿宋_GB2312"/>
          <w:sz w:val="32"/>
          <w:szCs w:val="32"/>
        </w:rPr>
        <w:t>二、收入决算表</w:t>
      </w:r>
      <w:bookmarkEnd w:id="62"/>
    </w:p>
    <w:p w14:paraId="34441560">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3" w:name="_Toc15396621"/>
      <w:r>
        <w:rPr>
          <w:rFonts w:hint="eastAsia" w:eastAsia="仿宋_GB2312" w:cs="仿宋_GB2312"/>
          <w:sz w:val="32"/>
          <w:szCs w:val="32"/>
        </w:rPr>
        <w:t>三、支出决算表</w:t>
      </w:r>
      <w:bookmarkEnd w:id="63"/>
    </w:p>
    <w:p w14:paraId="05BCEEC7">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4" w:name="_Toc15396622"/>
      <w:r>
        <w:rPr>
          <w:rFonts w:hint="eastAsia" w:eastAsia="仿宋_GB2312" w:cs="仿宋_GB2312"/>
          <w:sz w:val="32"/>
          <w:szCs w:val="32"/>
        </w:rPr>
        <w:t>四、财政拨款收入支出决算总表</w:t>
      </w:r>
      <w:bookmarkEnd w:id="64"/>
    </w:p>
    <w:p w14:paraId="6033DFA6">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5" w:name="_Toc15396623"/>
      <w:r>
        <w:rPr>
          <w:rFonts w:hint="eastAsia" w:eastAsia="仿宋_GB2312" w:cs="仿宋_GB2312"/>
          <w:sz w:val="32"/>
          <w:szCs w:val="32"/>
        </w:rPr>
        <w:t>五、财政拨款支出决算明细表</w:t>
      </w:r>
      <w:bookmarkEnd w:id="65"/>
      <w:bookmarkStart w:id="66" w:name="_Toc15396624"/>
    </w:p>
    <w:p w14:paraId="464216AE">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r>
        <w:rPr>
          <w:rFonts w:hint="eastAsia" w:eastAsia="仿宋_GB2312" w:cs="仿宋_GB2312"/>
          <w:sz w:val="32"/>
          <w:szCs w:val="32"/>
        </w:rPr>
        <w:t>六、一般公共预算财政拨款支出决算表</w:t>
      </w:r>
      <w:bookmarkEnd w:id="66"/>
    </w:p>
    <w:p w14:paraId="29BDE82E">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7" w:name="_Toc15396625"/>
      <w:r>
        <w:rPr>
          <w:rFonts w:hint="eastAsia" w:eastAsia="仿宋_GB2312" w:cs="仿宋_GB2312"/>
          <w:sz w:val="32"/>
          <w:szCs w:val="32"/>
        </w:rPr>
        <w:t>七、一般公共预算财政拨款支出决算明细表</w:t>
      </w:r>
      <w:bookmarkEnd w:id="67"/>
    </w:p>
    <w:p w14:paraId="5DAE6E25">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8" w:name="_Toc15396626"/>
      <w:r>
        <w:rPr>
          <w:rFonts w:hint="eastAsia" w:eastAsia="仿宋_GB2312" w:cs="仿宋_GB2312"/>
          <w:sz w:val="32"/>
          <w:szCs w:val="32"/>
        </w:rPr>
        <w:t>八、一般公共预算财政拨款基本支出决算表</w:t>
      </w:r>
      <w:bookmarkEnd w:id="68"/>
    </w:p>
    <w:p w14:paraId="19C74C41">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9" w:name="_Toc15396627"/>
      <w:r>
        <w:rPr>
          <w:rFonts w:hint="eastAsia" w:eastAsia="仿宋_GB2312" w:cs="仿宋_GB2312"/>
          <w:sz w:val="32"/>
          <w:szCs w:val="32"/>
        </w:rPr>
        <w:t>九、一般公共预算财政拨款项目支出决算表</w:t>
      </w:r>
      <w:bookmarkEnd w:id="69"/>
    </w:p>
    <w:p w14:paraId="3F09D64C">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70" w:name="_Toc15396628"/>
      <w:r>
        <w:rPr>
          <w:rFonts w:hint="eastAsia" w:eastAsia="仿宋_GB2312" w:cs="仿宋_GB2312"/>
          <w:sz w:val="32"/>
          <w:szCs w:val="32"/>
        </w:rPr>
        <w:t>十、</w:t>
      </w:r>
      <w:bookmarkEnd w:id="70"/>
      <w:r>
        <w:rPr>
          <w:rFonts w:hint="eastAsia" w:eastAsia="仿宋_GB2312" w:cs="仿宋_GB2312"/>
          <w:sz w:val="32"/>
          <w:szCs w:val="32"/>
        </w:rPr>
        <w:t>政府性基金预算财政拨款收入支出决算表</w:t>
      </w:r>
    </w:p>
    <w:p w14:paraId="23F0C726">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71" w:name="_Toc15396629"/>
      <w:r>
        <w:rPr>
          <w:rFonts w:hint="eastAsia" w:eastAsia="仿宋_GB2312" w:cs="仿宋_GB2312"/>
          <w:sz w:val="32"/>
          <w:szCs w:val="32"/>
        </w:rPr>
        <w:t>十一、</w:t>
      </w:r>
      <w:bookmarkEnd w:id="71"/>
      <w:r>
        <w:rPr>
          <w:rFonts w:hint="eastAsia" w:eastAsia="仿宋_GB2312" w:cs="仿宋_GB2312"/>
          <w:sz w:val="32"/>
          <w:szCs w:val="32"/>
        </w:rPr>
        <w:t>国有资本经营预算财政拨款收入支出决算表</w:t>
      </w:r>
    </w:p>
    <w:p w14:paraId="05522A25">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72" w:name="_Toc15396630"/>
      <w:r>
        <w:rPr>
          <w:rFonts w:hint="eastAsia" w:eastAsia="仿宋_GB2312" w:cs="仿宋_GB2312"/>
          <w:sz w:val="32"/>
          <w:szCs w:val="32"/>
        </w:rPr>
        <w:t>十二、</w:t>
      </w:r>
      <w:bookmarkEnd w:id="72"/>
      <w:r>
        <w:rPr>
          <w:rFonts w:hint="eastAsia" w:eastAsia="仿宋_GB2312" w:cs="仿宋_GB2312"/>
          <w:sz w:val="32"/>
          <w:szCs w:val="32"/>
        </w:rPr>
        <w:t>国有资本经营预算财政拨款支出决算表</w:t>
      </w:r>
    </w:p>
    <w:p w14:paraId="3CFF4A6E">
      <w:pPr>
        <w:pStyle w:val="15"/>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73" w:name="_Toc15396631"/>
      <w:r>
        <w:rPr>
          <w:rFonts w:hint="eastAsia" w:eastAsia="仿宋_GB2312" w:cs="仿宋_GB2312"/>
          <w:sz w:val="32"/>
          <w:szCs w:val="32"/>
        </w:rPr>
        <w:t>十三、</w:t>
      </w:r>
      <w:bookmarkEnd w:id="73"/>
      <w:r>
        <w:rPr>
          <w:rFonts w:hint="eastAsia" w:eastAsia="仿宋_GB2312" w:cs="仿宋_GB2312"/>
          <w:sz w:val="32"/>
          <w:szCs w:val="32"/>
        </w:rPr>
        <w:t>财政拨款“三公”经费支出决算表</w:t>
      </w:r>
    </w:p>
    <w:p w14:paraId="75D06980">
      <w:pPr>
        <w:pageBreakBefore w:val="0"/>
        <w:kinsoku/>
        <w:wordWrap/>
        <w:overflowPunct/>
        <w:topLinePunct w:val="0"/>
        <w:bidi w:val="0"/>
        <w:ind w:left="0" w:leftChars="0"/>
        <w:textAlignment w:val="auto"/>
      </w:pPr>
    </w:p>
    <w:sectPr>
      <w:footerReference r:id="rId7"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2CD03">
    <w:pPr>
      <w:pStyle w:val="11"/>
      <w:jc w:val="center"/>
    </w:pPr>
  </w:p>
  <w:p w14:paraId="477DAC3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64CDF">
    <w:pPr>
      <w:pStyle w:val="11"/>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2AE89">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8D0E3C">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28D0E3C">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4F23E">
    <w:pPr>
      <w:pStyle w:val="11"/>
      <w:jc w:val="both"/>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C6A89">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E7C6A89">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6D378">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32338E1"/>
    <w:rsid w:val="05137986"/>
    <w:rsid w:val="061E35DE"/>
    <w:rsid w:val="062748EF"/>
    <w:rsid w:val="06276DA3"/>
    <w:rsid w:val="066E0107"/>
    <w:rsid w:val="078B414B"/>
    <w:rsid w:val="07996F6E"/>
    <w:rsid w:val="07DFD8BA"/>
    <w:rsid w:val="08DB07E4"/>
    <w:rsid w:val="09867E8F"/>
    <w:rsid w:val="0A2032A3"/>
    <w:rsid w:val="0A470771"/>
    <w:rsid w:val="0C6C4794"/>
    <w:rsid w:val="0CA8290A"/>
    <w:rsid w:val="0CCF38FF"/>
    <w:rsid w:val="0D35B1ED"/>
    <w:rsid w:val="0DE07E2B"/>
    <w:rsid w:val="0F98263C"/>
    <w:rsid w:val="101860EC"/>
    <w:rsid w:val="104D195A"/>
    <w:rsid w:val="10C055FF"/>
    <w:rsid w:val="11332BDF"/>
    <w:rsid w:val="11772AA4"/>
    <w:rsid w:val="118107EC"/>
    <w:rsid w:val="13D50BC4"/>
    <w:rsid w:val="14022904"/>
    <w:rsid w:val="144801BE"/>
    <w:rsid w:val="152F2A07"/>
    <w:rsid w:val="15D22C36"/>
    <w:rsid w:val="163468B6"/>
    <w:rsid w:val="165E0673"/>
    <w:rsid w:val="16BB723D"/>
    <w:rsid w:val="186504BB"/>
    <w:rsid w:val="18B708FC"/>
    <w:rsid w:val="18B96638"/>
    <w:rsid w:val="190E4405"/>
    <w:rsid w:val="1938089F"/>
    <w:rsid w:val="1985755A"/>
    <w:rsid w:val="19A445FC"/>
    <w:rsid w:val="1A8A011D"/>
    <w:rsid w:val="1B7D550C"/>
    <w:rsid w:val="1BE8440E"/>
    <w:rsid w:val="1D155CEE"/>
    <w:rsid w:val="1E740ACF"/>
    <w:rsid w:val="1FF35744"/>
    <w:rsid w:val="1FF6BC77"/>
    <w:rsid w:val="2090637B"/>
    <w:rsid w:val="20B931EF"/>
    <w:rsid w:val="21962A9E"/>
    <w:rsid w:val="21AE7C77"/>
    <w:rsid w:val="22BC3C41"/>
    <w:rsid w:val="22EB78AE"/>
    <w:rsid w:val="23860B96"/>
    <w:rsid w:val="23A67EEB"/>
    <w:rsid w:val="240371BF"/>
    <w:rsid w:val="260F557C"/>
    <w:rsid w:val="268B2BA6"/>
    <w:rsid w:val="278A523E"/>
    <w:rsid w:val="281408E2"/>
    <w:rsid w:val="2817339C"/>
    <w:rsid w:val="286420D3"/>
    <w:rsid w:val="29FD04D3"/>
    <w:rsid w:val="2A7E56AD"/>
    <w:rsid w:val="2BFF7BC6"/>
    <w:rsid w:val="2C8A61B5"/>
    <w:rsid w:val="2D2E01CF"/>
    <w:rsid w:val="2D8B459A"/>
    <w:rsid w:val="2DF04E50"/>
    <w:rsid w:val="2E9545B0"/>
    <w:rsid w:val="2F040D46"/>
    <w:rsid w:val="2F331C81"/>
    <w:rsid w:val="2FAE5751"/>
    <w:rsid w:val="2FB1A395"/>
    <w:rsid w:val="2FD9A7D8"/>
    <w:rsid w:val="317E5853"/>
    <w:rsid w:val="318178A1"/>
    <w:rsid w:val="319F7F4E"/>
    <w:rsid w:val="321B2544"/>
    <w:rsid w:val="3304709D"/>
    <w:rsid w:val="34281836"/>
    <w:rsid w:val="349D6851"/>
    <w:rsid w:val="35BA6CAF"/>
    <w:rsid w:val="360A255B"/>
    <w:rsid w:val="364D14C1"/>
    <w:rsid w:val="36AA5135"/>
    <w:rsid w:val="36BE0DA7"/>
    <w:rsid w:val="36E144D5"/>
    <w:rsid w:val="376B6AA6"/>
    <w:rsid w:val="376D39B2"/>
    <w:rsid w:val="37E16F03"/>
    <w:rsid w:val="37F53A3B"/>
    <w:rsid w:val="381C6576"/>
    <w:rsid w:val="389B6C89"/>
    <w:rsid w:val="38D469F0"/>
    <w:rsid w:val="39627CCD"/>
    <w:rsid w:val="396E67D8"/>
    <w:rsid w:val="397BAF1F"/>
    <w:rsid w:val="3A6446E0"/>
    <w:rsid w:val="3A805D8E"/>
    <w:rsid w:val="3A836438"/>
    <w:rsid w:val="3AB79AF3"/>
    <w:rsid w:val="3AE72AE5"/>
    <w:rsid w:val="3B7EF35A"/>
    <w:rsid w:val="3B9FDB6C"/>
    <w:rsid w:val="3BF5BC2F"/>
    <w:rsid w:val="3C354BF6"/>
    <w:rsid w:val="3CBC7580"/>
    <w:rsid w:val="3CEBA265"/>
    <w:rsid w:val="3D98207C"/>
    <w:rsid w:val="3D9B0D99"/>
    <w:rsid w:val="3DEE7CF3"/>
    <w:rsid w:val="3DF02244"/>
    <w:rsid w:val="3E036B27"/>
    <w:rsid w:val="3E78745D"/>
    <w:rsid w:val="3FBF0ED7"/>
    <w:rsid w:val="3FF4CAE0"/>
    <w:rsid w:val="3FF7B227"/>
    <w:rsid w:val="40E54C45"/>
    <w:rsid w:val="41175FD9"/>
    <w:rsid w:val="41933E5E"/>
    <w:rsid w:val="41D80984"/>
    <w:rsid w:val="439B388D"/>
    <w:rsid w:val="43A407DF"/>
    <w:rsid w:val="44515BEA"/>
    <w:rsid w:val="44E268DA"/>
    <w:rsid w:val="453F7E5B"/>
    <w:rsid w:val="464E4083"/>
    <w:rsid w:val="486A6C7A"/>
    <w:rsid w:val="49176D9B"/>
    <w:rsid w:val="4A627F82"/>
    <w:rsid w:val="4B0E749A"/>
    <w:rsid w:val="4B4F25DA"/>
    <w:rsid w:val="4BDA0CFB"/>
    <w:rsid w:val="4BE068DB"/>
    <w:rsid w:val="4D3C0CCC"/>
    <w:rsid w:val="4D577224"/>
    <w:rsid w:val="4DBF1CEB"/>
    <w:rsid w:val="4EAB630A"/>
    <w:rsid w:val="4ECE2238"/>
    <w:rsid w:val="4F833267"/>
    <w:rsid w:val="4FD712A8"/>
    <w:rsid w:val="4FE9BD67"/>
    <w:rsid w:val="4FFB052F"/>
    <w:rsid w:val="51F54E50"/>
    <w:rsid w:val="520119E9"/>
    <w:rsid w:val="52586B0D"/>
    <w:rsid w:val="53083A92"/>
    <w:rsid w:val="537E6D0A"/>
    <w:rsid w:val="53AF27A2"/>
    <w:rsid w:val="53D57E4F"/>
    <w:rsid w:val="53F74C96"/>
    <w:rsid w:val="56E47B74"/>
    <w:rsid w:val="57BD3DD4"/>
    <w:rsid w:val="58C318A9"/>
    <w:rsid w:val="58EA71FA"/>
    <w:rsid w:val="58F94574"/>
    <w:rsid w:val="5A0A32AE"/>
    <w:rsid w:val="5AF92295"/>
    <w:rsid w:val="5BDD79E6"/>
    <w:rsid w:val="5BF561CA"/>
    <w:rsid w:val="5BFF5DFC"/>
    <w:rsid w:val="5CD71FC4"/>
    <w:rsid w:val="5D1F11B5"/>
    <w:rsid w:val="5DAE1B18"/>
    <w:rsid w:val="5DC33CD9"/>
    <w:rsid w:val="5DE7D9E5"/>
    <w:rsid w:val="5ECEC941"/>
    <w:rsid w:val="5F493CB7"/>
    <w:rsid w:val="5FBF9FF3"/>
    <w:rsid w:val="5FCD4E2C"/>
    <w:rsid w:val="5FD15F49"/>
    <w:rsid w:val="5FEF394A"/>
    <w:rsid w:val="5FF67715"/>
    <w:rsid w:val="5FF76BA6"/>
    <w:rsid w:val="608415CF"/>
    <w:rsid w:val="62BF3928"/>
    <w:rsid w:val="647F5392"/>
    <w:rsid w:val="660D4852"/>
    <w:rsid w:val="664B1D71"/>
    <w:rsid w:val="6764746E"/>
    <w:rsid w:val="67AA3209"/>
    <w:rsid w:val="681C4F0D"/>
    <w:rsid w:val="69046D0F"/>
    <w:rsid w:val="698D0931"/>
    <w:rsid w:val="6A993CED"/>
    <w:rsid w:val="6B053271"/>
    <w:rsid w:val="6B147755"/>
    <w:rsid w:val="6BCE6674"/>
    <w:rsid w:val="6BEE0DBB"/>
    <w:rsid w:val="6C4A05C8"/>
    <w:rsid w:val="6C8742B8"/>
    <w:rsid w:val="6C8A170F"/>
    <w:rsid w:val="6CB54609"/>
    <w:rsid w:val="6DBF5E93"/>
    <w:rsid w:val="6DFF077E"/>
    <w:rsid w:val="6E7E3605"/>
    <w:rsid w:val="6E7FDCC7"/>
    <w:rsid w:val="6ED6A62E"/>
    <w:rsid w:val="6EE00B15"/>
    <w:rsid w:val="6F544B20"/>
    <w:rsid w:val="6F6FB3EB"/>
    <w:rsid w:val="6F784160"/>
    <w:rsid w:val="6F8731EA"/>
    <w:rsid w:val="6FA523D2"/>
    <w:rsid w:val="6FCE6052"/>
    <w:rsid w:val="6FD57C00"/>
    <w:rsid w:val="6FE47507"/>
    <w:rsid w:val="6FEFFFD8"/>
    <w:rsid w:val="6FF5CC65"/>
    <w:rsid w:val="6FFB47EC"/>
    <w:rsid w:val="6FFF034A"/>
    <w:rsid w:val="70496804"/>
    <w:rsid w:val="70EE1B56"/>
    <w:rsid w:val="70FA0A6A"/>
    <w:rsid w:val="712A28F1"/>
    <w:rsid w:val="715C0E4B"/>
    <w:rsid w:val="72233669"/>
    <w:rsid w:val="72734D90"/>
    <w:rsid w:val="7332FE48"/>
    <w:rsid w:val="73A903A4"/>
    <w:rsid w:val="73AB61DA"/>
    <w:rsid w:val="73AD73D5"/>
    <w:rsid w:val="73B6EB34"/>
    <w:rsid w:val="73D83687"/>
    <w:rsid w:val="73FA497D"/>
    <w:rsid w:val="744731E5"/>
    <w:rsid w:val="74527205"/>
    <w:rsid w:val="74781004"/>
    <w:rsid w:val="74BBD01D"/>
    <w:rsid w:val="74ED5379"/>
    <w:rsid w:val="74FC2395"/>
    <w:rsid w:val="75DEEEC2"/>
    <w:rsid w:val="75EB18CD"/>
    <w:rsid w:val="75F4331A"/>
    <w:rsid w:val="7609122F"/>
    <w:rsid w:val="76E3355F"/>
    <w:rsid w:val="76F93003"/>
    <w:rsid w:val="76FF5125"/>
    <w:rsid w:val="776F6FFA"/>
    <w:rsid w:val="778769C8"/>
    <w:rsid w:val="77DC22F5"/>
    <w:rsid w:val="78142BDA"/>
    <w:rsid w:val="79075C10"/>
    <w:rsid w:val="79086DAD"/>
    <w:rsid w:val="795457DC"/>
    <w:rsid w:val="79974F09"/>
    <w:rsid w:val="79D7FD79"/>
    <w:rsid w:val="79EE5BA4"/>
    <w:rsid w:val="7A7F7838"/>
    <w:rsid w:val="7A894339"/>
    <w:rsid w:val="7AFF7572"/>
    <w:rsid w:val="7B6C7DFB"/>
    <w:rsid w:val="7BBFBED0"/>
    <w:rsid w:val="7BC3E394"/>
    <w:rsid w:val="7C1F3737"/>
    <w:rsid w:val="7CBFC87B"/>
    <w:rsid w:val="7CFE0F48"/>
    <w:rsid w:val="7D156435"/>
    <w:rsid w:val="7D5960D1"/>
    <w:rsid w:val="7D7EC23E"/>
    <w:rsid w:val="7D916348"/>
    <w:rsid w:val="7E8ADEBF"/>
    <w:rsid w:val="7EEF11D3"/>
    <w:rsid w:val="7F0971A6"/>
    <w:rsid w:val="7F3F679B"/>
    <w:rsid w:val="7F4FC4EF"/>
    <w:rsid w:val="7F5E4D54"/>
    <w:rsid w:val="7F6E0135"/>
    <w:rsid w:val="7F6F562C"/>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7"/>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qFormat/>
    <w:uiPriority w:val="0"/>
    <w:rPr>
      <w:rFonts w:ascii="Courier New" w:hAnsi="Courier New"/>
    </w:r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7"/>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next w:val="2"/>
    <w:semiHidden/>
    <w:unhideWhenUsed/>
    <w:qFormat/>
    <w:uiPriority w:val="99"/>
    <w:pPr>
      <w:spacing w:before="0" w:beforeAutospacing="1" w:after="0" w:afterAutospacing="1"/>
      <w:ind w:left="0" w:right="0"/>
      <w:jc w:val="left"/>
    </w:pPr>
    <w:rPr>
      <w:kern w:val="0"/>
      <w:sz w:val="24"/>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2"/>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character" w:customStyle="1" w:styleId="37">
    <w:name w:val="正文首行缩进 2 Char"/>
    <w:basedOn w:val="18"/>
    <w:link w:val="7"/>
    <w:qFormat/>
    <w:uiPriority w:val="99"/>
    <w:rPr>
      <w:rFonts w:ascii="仿宋_GB2312"/>
      <w:kern w:val="2"/>
      <w:sz w:val="21"/>
      <w:szCs w:val="32"/>
    </w:rPr>
  </w:style>
  <w:style w:type="paragraph" w:customStyle="1" w:styleId="38">
    <w:name w:val="p2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6982</Words>
  <Characters>7787</Characters>
  <Lines>63</Lines>
  <Paragraphs>17</Paragraphs>
  <TotalTime>0</TotalTime>
  <ScaleCrop>false</ScaleCrop>
  <LinksUpToDate>false</LinksUpToDate>
  <CharactersWithSpaces>7904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李燕君</cp:lastModifiedBy>
  <cp:lastPrinted>2026-08-27T00:27:00Z</cp:lastPrinted>
  <dcterms:modified xsi:type="dcterms:W3CDTF">2026-09-09T06:58:46Z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B0B09C6FEBF74A86A497FF85EF2A3931_13</vt:lpwstr>
  </property>
  <property fmtid="{D5CDD505-2E9C-101B-9397-08002B2CF9AE}" pid="4" name="KSOTemplateDocerSaveRecord">
    <vt:lpwstr>eyJoZGlkIjoiNTk4MzZmNjQzYWI2NzdmODU4MmE3ZDE1NDkxOTY5MjAiLCJ1c2VySWQiOiIzMjE5ODY5MzcifQ==</vt:lpwstr>
  </property>
</Properties>
</file>