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7425"/>
      <w:bookmarkStart w:id="3" w:name="_Toc15378441"/>
      <w:bookmarkStart w:id="4" w:name="_Toc15396597"/>
      <w:bookmarkStart w:id="5" w:name="_Toc15377193"/>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77194"/>
      <w:bookmarkStart w:id="8" w:name="_Toc15396476"/>
      <w:bookmarkStart w:id="9" w:name="_Toc15396598"/>
      <w:bookmarkStart w:id="10" w:name="_Toc15378442"/>
      <w:r>
        <w:rPr>
          <w:rFonts w:hint="eastAsia" w:ascii="方正小标宋简体" w:hAnsi="方正小标宋简体" w:eastAsia="方正小标宋简体" w:cs="方正小标宋简体"/>
          <w:sz w:val="72"/>
          <w:szCs w:val="72"/>
        </w:rPr>
        <w:t>攀枝花市</w:t>
      </w:r>
      <w:bookmarkEnd w:id="0"/>
      <w:bookmarkStart w:id="11" w:name="_Toc15306268"/>
      <w:r>
        <w:rPr>
          <w:rFonts w:hint="eastAsia" w:ascii="方正小标宋简体" w:hAnsi="方正小标宋简体" w:eastAsia="方正小标宋简体" w:cs="方正小标宋简体"/>
          <w:sz w:val="72"/>
          <w:szCs w:val="72"/>
        </w:rPr>
        <w:t>公共资源交易服务中心单位决算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公开时间：2023年9月</w:t>
      </w:r>
      <w:r>
        <w:t>1</w:t>
      </w:r>
      <w:r>
        <w:rPr>
          <w:rFonts w:hint="eastAsia"/>
          <w:lang w:val="en-US" w:eastAsia="zh-CN"/>
        </w:rPr>
        <w:t>4</w:t>
      </w:r>
      <w:r>
        <w:rPr>
          <w:rFonts w:hint="eastAsia"/>
        </w:rPr>
        <w:t>日</w:t>
      </w:r>
      <w:bookmarkStart w:id="67" w:name="_GoBack"/>
      <w:bookmarkEnd w:id="67"/>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r>
        <w:rPr>
          <w:rFonts w:cstheme="minorBidi"/>
          <w:sz w:val="24"/>
          <w:szCs w:val="24"/>
        </w:rPr>
        <w:tab/>
      </w:r>
      <w:r>
        <w:rPr>
          <w:rFonts w:hint="eastAsia" w:cstheme="minorBidi"/>
          <w:sz w:val="24"/>
          <w:szCs w:val="24"/>
        </w:rPr>
        <w:t>4</w:t>
      </w:r>
    </w:p>
    <w:p>
      <w:pPr>
        <w:pStyle w:val="11"/>
        <w:adjustRightInd w:val="0"/>
        <w:snapToGrid w:val="0"/>
        <w:spacing w:line="440" w:lineRule="exact"/>
        <w:jc w:val="left"/>
        <w:rPr>
          <w:sz w:val="24"/>
        </w:rPr>
      </w:pPr>
      <w:r>
        <w:rPr>
          <w:rFonts w:hint="eastAsia"/>
          <w:sz w:val="24"/>
        </w:rPr>
        <w:t>一、主要职责</w:t>
      </w:r>
      <w:r>
        <w:rPr>
          <w:rFonts w:cstheme="minorBidi"/>
          <w:sz w:val="24"/>
        </w:rPr>
        <w:tab/>
      </w:r>
      <w:r>
        <w:rPr>
          <w:rFonts w:hint="eastAsia" w:cstheme="minorBidi"/>
          <w:sz w:val="24"/>
        </w:rPr>
        <w:t>4</w:t>
      </w:r>
    </w:p>
    <w:p>
      <w:pPr>
        <w:pStyle w:val="11"/>
        <w:adjustRightInd w:val="0"/>
        <w:snapToGrid w:val="0"/>
        <w:spacing w:line="440" w:lineRule="exact"/>
        <w:jc w:val="left"/>
      </w:pPr>
      <w:r>
        <w:rPr>
          <w:rFonts w:hint="eastAsia"/>
          <w:sz w:val="24"/>
        </w:rPr>
        <w:t>二、机构设置</w:t>
      </w:r>
      <w:r>
        <w:rPr>
          <w:rFonts w:cstheme="minorBidi"/>
          <w:sz w:val="24"/>
        </w:rPr>
        <w:tab/>
      </w:r>
      <w:r>
        <w:rPr>
          <w:rFonts w:hint="eastAsia" w:cstheme="minorBidi"/>
          <w:sz w:val="24"/>
        </w:rPr>
        <w:t>10</w:t>
      </w:r>
    </w:p>
    <w:p>
      <w:pPr>
        <w:pStyle w:val="10"/>
        <w:adjustRightInd w:val="0"/>
        <w:snapToGrid w:val="0"/>
        <w:spacing w:before="0" w:line="440" w:lineRule="exact"/>
        <w:jc w:val="left"/>
        <w:rPr>
          <w:sz w:val="24"/>
          <w:szCs w:val="24"/>
        </w:rPr>
      </w:pPr>
      <w:r>
        <w:rPr>
          <w:rFonts w:hint="eastAsia"/>
          <w:sz w:val="24"/>
        </w:rPr>
        <w:t>第二部分 2022年度单位决算情况说明</w:t>
      </w:r>
      <w:r>
        <w:rPr>
          <w:rFonts w:cstheme="minorBidi"/>
          <w:sz w:val="24"/>
          <w:szCs w:val="24"/>
        </w:rPr>
        <w:tab/>
      </w:r>
      <w:r>
        <w:rPr>
          <w:rFonts w:hint="eastAsia" w:cstheme="minorBidi"/>
          <w:sz w:val="24"/>
          <w:szCs w:val="24"/>
        </w:rPr>
        <w:t>11</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cstheme="minorBidi"/>
          <w:sz w:val="24"/>
        </w:rPr>
        <w:tab/>
      </w:r>
      <w:r>
        <w:rPr>
          <w:rFonts w:hint="eastAsia" w:cstheme="minorBidi"/>
          <w:sz w:val="24"/>
        </w:rPr>
        <w:t>11</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r>
        <w:rPr>
          <w:rFonts w:cstheme="minorBidi"/>
          <w:sz w:val="24"/>
        </w:rPr>
        <w:tab/>
      </w:r>
      <w:r>
        <w:rPr>
          <w:rFonts w:hint="eastAsia" w:cstheme="minorBidi"/>
          <w:sz w:val="24"/>
        </w:rPr>
        <w:t>11</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r>
        <w:rPr>
          <w:rFonts w:cstheme="minorBidi"/>
          <w:sz w:val="24"/>
        </w:rPr>
        <w:tab/>
      </w:r>
      <w:r>
        <w:rPr>
          <w:rFonts w:hint="eastAsia" w:cstheme="minorBidi"/>
          <w:sz w:val="24"/>
        </w:rPr>
        <w:t>12</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cstheme="minorBidi"/>
          <w:sz w:val="24"/>
        </w:rPr>
        <w:tab/>
      </w:r>
      <w:r>
        <w:rPr>
          <w:rFonts w:hint="eastAsia" w:cstheme="minorBidi"/>
          <w:sz w:val="24"/>
        </w:rPr>
        <w:t>13</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cstheme="minorBidi"/>
          <w:sz w:val="24"/>
        </w:rPr>
        <w:tab/>
      </w:r>
      <w:r>
        <w:rPr>
          <w:rFonts w:hint="eastAsia" w:cstheme="minorBidi"/>
          <w:sz w:val="24"/>
        </w:rPr>
        <w:t>13</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rFonts w:cstheme="minorBidi"/>
          <w:sz w:val="24"/>
        </w:rPr>
        <w:tab/>
      </w:r>
      <w:r>
        <w:rPr>
          <w:rFonts w:hint="eastAsia" w:cstheme="minorBidi"/>
          <w:sz w:val="24"/>
        </w:rPr>
        <w:t>16</w:t>
      </w:r>
    </w:p>
    <w:p>
      <w:pPr>
        <w:pStyle w:val="11"/>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r>
        <w:rPr>
          <w:rFonts w:cstheme="minorBidi"/>
          <w:sz w:val="24"/>
        </w:rPr>
        <w:tab/>
      </w:r>
      <w:r>
        <w:rPr>
          <w:rFonts w:hint="eastAsia" w:cstheme="minorBidi"/>
          <w:sz w:val="24"/>
        </w:rPr>
        <w:t>16</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rFonts w:cstheme="minorBidi"/>
          <w:sz w:val="24"/>
        </w:rPr>
        <w:tab/>
      </w:r>
      <w:r>
        <w:rPr>
          <w:rFonts w:hint="eastAsia" w:cstheme="minorBidi"/>
          <w:sz w:val="24"/>
        </w:rPr>
        <w:t>18</w:t>
      </w:r>
    </w:p>
    <w:p>
      <w:pPr>
        <w:pStyle w:val="11"/>
        <w:adjustRightInd w:val="0"/>
        <w:snapToGrid w:val="0"/>
        <w:spacing w:line="440" w:lineRule="exact"/>
        <w:jc w:val="left"/>
        <w:rPr>
          <w:sz w:val="24"/>
        </w:rPr>
      </w:pPr>
      <w:r>
        <w:rPr>
          <w:rFonts w:hint="eastAsia"/>
          <w:sz w:val="24"/>
        </w:rPr>
        <w:t>九、国有资本经营预算支出决算情况说明</w:t>
      </w:r>
      <w:r>
        <w:rPr>
          <w:rFonts w:cstheme="minorBidi"/>
          <w:sz w:val="24"/>
        </w:rPr>
        <w:tab/>
      </w:r>
      <w:r>
        <w:rPr>
          <w:rFonts w:hint="eastAsia" w:cstheme="minorBidi"/>
          <w:sz w:val="24"/>
        </w:rPr>
        <w:t>19</w:t>
      </w:r>
    </w:p>
    <w:p>
      <w:pPr>
        <w:pStyle w:val="11"/>
        <w:adjustRightInd w:val="0"/>
        <w:snapToGrid w:val="0"/>
        <w:spacing w:line="440" w:lineRule="exact"/>
        <w:jc w:val="left"/>
        <w:rPr>
          <w:sz w:val="24"/>
        </w:rPr>
      </w:pPr>
      <w:r>
        <w:rPr>
          <w:rFonts w:hint="eastAsia"/>
          <w:sz w:val="24"/>
        </w:rPr>
        <w:t>十、其他重要事项的情况说明</w:t>
      </w:r>
      <w:r>
        <w:rPr>
          <w:rFonts w:cstheme="minorBidi"/>
          <w:sz w:val="24"/>
        </w:rPr>
        <w:tab/>
      </w:r>
      <w:r>
        <w:rPr>
          <w:rFonts w:hint="eastAsia" w:cstheme="minorBidi"/>
          <w:sz w:val="24"/>
        </w:rPr>
        <w:t>19</w:t>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cstheme="minorBidi"/>
          <w:sz w:val="24"/>
        </w:rPr>
        <w:tab/>
      </w:r>
      <w:r>
        <w:rPr>
          <w:rFonts w:hint="eastAsia" w:ascii="仿宋_GB2312" w:eastAsia="仿宋_GB2312" w:cstheme="minorBidi"/>
          <w:sz w:val="24"/>
        </w:rPr>
        <w:t>2</w:t>
      </w:r>
      <w:r>
        <w:rPr>
          <w:rFonts w:hint="eastAsia" w:ascii="仿宋_GB2312" w:hAnsi="Times New Roman" w:eastAsia="仿宋_GB2312" w:cstheme="minorBidi"/>
          <w:sz w:val="24"/>
          <w:szCs w:val="24"/>
        </w:rPr>
        <w:t>1</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cstheme="minorBidi"/>
          <w:sz w:val="24"/>
        </w:rPr>
        <w:tab/>
      </w:r>
      <w:r>
        <w:rPr>
          <w:rFonts w:hint="eastAsia" w:cstheme="minorBidi"/>
          <w:sz w:val="24"/>
          <w:lang w:val="en-US" w:eastAsia="zh-CN"/>
        </w:rPr>
        <w:t>23</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cstheme="minorBidi"/>
          <w:sz w:val="24"/>
        </w:rPr>
        <w:tab/>
      </w:r>
      <w:r>
        <w:rPr>
          <w:rFonts w:hint="eastAsia" w:cstheme="minorBidi"/>
          <w:sz w:val="24"/>
          <w:lang w:val="en-US" w:eastAsia="zh-CN"/>
        </w:rPr>
        <w:t>23</w:t>
      </w:r>
    </w:p>
    <w:p>
      <w:pPr>
        <w:pStyle w:val="11"/>
        <w:adjustRightInd w:val="0"/>
        <w:snapToGrid w:val="0"/>
        <w:spacing w:line="440" w:lineRule="exact"/>
        <w:jc w:val="left"/>
        <w:rPr>
          <w:rFonts w:hint="default" w:eastAsia="宋体"/>
          <w:sz w:val="24"/>
          <w:lang w:val="en-US" w:eastAsia="zh-CN"/>
        </w:rPr>
      </w:pPr>
      <w:r>
        <w:rPr>
          <w:rFonts w:hint="eastAsia"/>
          <w:sz w:val="24"/>
        </w:rPr>
        <w:t>一、收入支出决算总表</w:t>
      </w:r>
      <w:r>
        <w:rPr>
          <w:rFonts w:cstheme="minorBidi"/>
          <w:sz w:val="24"/>
        </w:rPr>
        <w:tab/>
      </w:r>
      <w:r>
        <w:rPr>
          <w:rFonts w:hint="eastAsia" w:cstheme="minorBidi"/>
          <w:sz w:val="24"/>
          <w:lang w:val="en-US" w:eastAsia="zh-CN"/>
        </w:rPr>
        <w:t>24</w:t>
      </w:r>
    </w:p>
    <w:p>
      <w:pPr>
        <w:pStyle w:val="11"/>
        <w:adjustRightInd w:val="0"/>
        <w:snapToGrid w:val="0"/>
        <w:spacing w:line="440" w:lineRule="exact"/>
        <w:jc w:val="left"/>
        <w:rPr>
          <w:rFonts w:hint="default" w:eastAsia="宋体"/>
          <w:sz w:val="24"/>
          <w:lang w:val="en-US" w:eastAsia="zh-CN"/>
        </w:rPr>
      </w:pPr>
      <w:r>
        <w:rPr>
          <w:rFonts w:hint="eastAsia"/>
          <w:sz w:val="24"/>
        </w:rPr>
        <w:t>二、收入决算表</w:t>
      </w:r>
      <w:r>
        <w:rPr>
          <w:rFonts w:cstheme="minorBidi"/>
          <w:sz w:val="24"/>
        </w:rPr>
        <w:tab/>
      </w:r>
      <w:r>
        <w:rPr>
          <w:rFonts w:hint="eastAsia" w:cstheme="minorBidi"/>
          <w:sz w:val="24"/>
          <w:lang w:val="en-US" w:eastAsia="zh-CN"/>
        </w:rPr>
        <w:t>24</w:t>
      </w:r>
    </w:p>
    <w:p>
      <w:pPr>
        <w:pStyle w:val="11"/>
        <w:adjustRightInd w:val="0"/>
        <w:snapToGrid w:val="0"/>
        <w:spacing w:line="440" w:lineRule="exact"/>
        <w:jc w:val="left"/>
        <w:rPr>
          <w:rFonts w:hint="default" w:eastAsia="宋体"/>
          <w:sz w:val="24"/>
          <w:lang w:val="en-US" w:eastAsia="zh-CN"/>
        </w:rPr>
      </w:pPr>
      <w:r>
        <w:rPr>
          <w:rFonts w:hint="eastAsia"/>
          <w:sz w:val="24"/>
        </w:rPr>
        <w:t>三、支出决算表</w:t>
      </w:r>
      <w:r>
        <w:rPr>
          <w:rFonts w:cstheme="minorBidi"/>
          <w:sz w:val="24"/>
        </w:rPr>
        <w:tab/>
      </w:r>
      <w:r>
        <w:rPr>
          <w:rFonts w:hint="eastAsia" w:cstheme="minorBidi"/>
          <w:sz w:val="24"/>
          <w:lang w:val="en-US" w:eastAsia="zh-CN"/>
        </w:rPr>
        <w:t>24</w:t>
      </w:r>
    </w:p>
    <w:p>
      <w:pPr>
        <w:pStyle w:val="11"/>
        <w:adjustRightInd w:val="0"/>
        <w:snapToGrid w:val="0"/>
        <w:spacing w:line="440" w:lineRule="exact"/>
        <w:jc w:val="left"/>
        <w:rPr>
          <w:rFonts w:hint="default" w:eastAsia="宋体"/>
          <w:sz w:val="24"/>
          <w:lang w:val="en-US" w:eastAsia="zh-CN"/>
        </w:rPr>
      </w:pPr>
      <w:r>
        <w:rPr>
          <w:rFonts w:hint="eastAsia"/>
          <w:sz w:val="24"/>
        </w:rPr>
        <w:t>四、财政拨款收入支出决算总表</w:t>
      </w:r>
      <w:r>
        <w:rPr>
          <w:rFonts w:cstheme="minorBidi"/>
          <w:sz w:val="24"/>
        </w:rPr>
        <w:tab/>
      </w:r>
      <w:r>
        <w:rPr>
          <w:rFonts w:hint="eastAsia" w:cstheme="minorBidi"/>
          <w:sz w:val="24"/>
          <w:lang w:val="en-US" w:eastAsia="zh-CN"/>
        </w:rPr>
        <w:t>24</w:t>
      </w:r>
    </w:p>
    <w:p>
      <w:pPr>
        <w:pStyle w:val="11"/>
        <w:adjustRightInd w:val="0"/>
        <w:snapToGrid w:val="0"/>
        <w:spacing w:line="440" w:lineRule="exact"/>
        <w:jc w:val="left"/>
        <w:rPr>
          <w:rFonts w:hint="default" w:eastAsia="宋体"/>
          <w:sz w:val="24"/>
          <w:lang w:val="en-US" w:eastAsia="zh-CN"/>
        </w:rPr>
      </w:pPr>
      <w:r>
        <w:rPr>
          <w:rFonts w:hint="eastAsia"/>
          <w:sz w:val="24"/>
        </w:rPr>
        <w:t>五、财政拨款支出决算明细表</w:t>
      </w:r>
      <w:r>
        <w:rPr>
          <w:rFonts w:cstheme="minorBidi"/>
          <w:sz w:val="24"/>
        </w:rPr>
        <w:tab/>
      </w:r>
      <w:r>
        <w:rPr>
          <w:rFonts w:hint="eastAsia" w:cstheme="minorBidi"/>
          <w:sz w:val="24"/>
          <w:lang w:val="en-US" w:eastAsia="zh-CN"/>
        </w:rPr>
        <w:t>24</w:t>
      </w:r>
    </w:p>
    <w:p>
      <w:pPr>
        <w:pStyle w:val="11"/>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rPr>
          <w:rFonts w:cstheme="minorBidi"/>
          <w:sz w:val="24"/>
        </w:rPr>
        <w:tab/>
      </w:r>
      <w:r>
        <w:rPr>
          <w:rFonts w:hint="eastAsia" w:cstheme="minorBidi"/>
          <w:sz w:val="24"/>
          <w:lang w:val="en-US" w:eastAsia="zh-CN"/>
        </w:rPr>
        <w:t>24</w:t>
      </w:r>
    </w:p>
    <w:p>
      <w:pPr>
        <w:pStyle w:val="11"/>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rPr>
          <w:rFonts w:cstheme="minorBidi"/>
          <w:sz w:val="24"/>
        </w:rPr>
        <w:tab/>
      </w:r>
      <w:r>
        <w:rPr>
          <w:rFonts w:hint="eastAsia" w:cstheme="minorBidi"/>
          <w:sz w:val="24"/>
          <w:lang w:val="en-US" w:eastAsia="zh-CN"/>
        </w:rPr>
        <w:t>24</w:t>
      </w:r>
    </w:p>
    <w:p>
      <w:pPr>
        <w:pStyle w:val="11"/>
        <w:adjustRightInd w:val="0"/>
        <w:snapToGrid w:val="0"/>
        <w:spacing w:line="440" w:lineRule="exact"/>
        <w:jc w:val="left"/>
        <w:rPr>
          <w:rFonts w:hint="default" w:eastAsia="宋体"/>
          <w:sz w:val="24"/>
          <w:lang w:val="en-US" w:eastAsia="zh-CN"/>
        </w:rPr>
      </w:pPr>
      <w:r>
        <w:rPr>
          <w:rFonts w:hint="eastAsia"/>
          <w:sz w:val="24"/>
        </w:rPr>
        <w:t>八、一般公共预算财政拨款基本支出决算明细表</w:t>
      </w:r>
      <w:r>
        <w:rPr>
          <w:rFonts w:cstheme="minorBidi"/>
          <w:sz w:val="24"/>
        </w:rPr>
        <w:tab/>
      </w:r>
      <w:r>
        <w:rPr>
          <w:rFonts w:hint="eastAsia" w:cstheme="minorBidi"/>
          <w:sz w:val="24"/>
          <w:lang w:val="en-US" w:eastAsia="zh-CN"/>
        </w:rPr>
        <w:t>24</w:t>
      </w:r>
    </w:p>
    <w:p>
      <w:pPr>
        <w:pStyle w:val="11"/>
        <w:adjustRightInd w:val="0"/>
        <w:snapToGrid w:val="0"/>
        <w:spacing w:line="440" w:lineRule="exact"/>
        <w:jc w:val="left"/>
        <w:rPr>
          <w:rFonts w:hint="default" w:eastAsia="宋体"/>
          <w:sz w:val="24"/>
          <w:lang w:val="en-US" w:eastAsia="zh-CN"/>
        </w:rPr>
      </w:pPr>
      <w:r>
        <w:rPr>
          <w:rFonts w:hint="eastAsia"/>
          <w:sz w:val="24"/>
        </w:rPr>
        <w:t>九、一般公共预算财政拨款项目支出决算表</w:t>
      </w:r>
      <w:r>
        <w:rPr>
          <w:rFonts w:cstheme="minorBidi"/>
          <w:sz w:val="24"/>
        </w:rPr>
        <w:tab/>
      </w:r>
      <w:r>
        <w:rPr>
          <w:rFonts w:hint="eastAsia" w:cstheme="minorBidi"/>
          <w:sz w:val="24"/>
          <w:lang w:val="en-US" w:eastAsia="zh-CN"/>
        </w:rPr>
        <w:t>24</w:t>
      </w:r>
    </w:p>
    <w:p>
      <w:pPr>
        <w:pStyle w:val="11"/>
        <w:adjustRightInd w:val="0"/>
        <w:snapToGrid w:val="0"/>
        <w:spacing w:line="440" w:lineRule="exact"/>
        <w:jc w:val="left"/>
        <w:rPr>
          <w:rFonts w:hint="default" w:eastAsia="宋体"/>
          <w:sz w:val="24"/>
          <w:lang w:val="en-US" w:eastAsia="zh-CN"/>
        </w:rPr>
      </w:pPr>
      <w:r>
        <w:rPr>
          <w:rFonts w:hint="eastAsia"/>
          <w:sz w:val="24"/>
        </w:rPr>
        <w:t>十、政府性基金预算财政拨款收入支出决算表</w:t>
      </w:r>
      <w:r>
        <w:rPr>
          <w:rFonts w:cstheme="minorBidi"/>
          <w:sz w:val="24"/>
        </w:rPr>
        <w:tab/>
      </w:r>
      <w:r>
        <w:rPr>
          <w:rFonts w:hint="eastAsia" w:cstheme="minorBidi"/>
          <w:sz w:val="24"/>
          <w:lang w:val="en-US" w:eastAsia="zh-CN"/>
        </w:rPr>
        <w:t>24</w:t>
      </w:r>
    </w:p>
    <w:p>
      <w:pPr>
        <w:pStyle w:val="11"/>
        <w:adjustRightInd w:val="0"/>
        <w:snapToGrid w:val="0"/>
        <w:spacing w:line="440" w:lineRule="exact"/>
        <w:jc w:val="left"/>
        <w:rPr>
          <w:rFonts w:hint="default" w:eastAsia="宋体"/>
          <w:sz w:val="24"/>
          <w:lang w:val="en-US" w:eastAsia="zh-CN"/>
        </w:rPr>
      </w:pPr>
      <w:r>
        <w:rPr>
          <w:rFonts w:hint="eastAsia"/>
          <w:sz w:val="24"/>
        </w:rPr>
        <w:t>十一、国有资本经营预算财政拨款收入支出决算表</w:t>
      </w:r>
      <w:r>
        <w:rPr>
          <w:rFonts w:cstheme="minorBidi"/>
          <w:sz w:val="24"/>
        </w:rPr>
        <w:tab/>
      </w:r>
      <w:r>
        <w:rPr>
          <w:rFonts w:hint="eastAsia" w:cstheme="minorBidi"/>
          <w:sz w:val="24"/>
          <w:lang w:val="en-US" w:eastAsia="zh-CN"/>
        </w:rPr>
        <w:t>24</w:t>
      </w:r>
    </w:p>
    <w:p>
      <w:pPr>
        <w:pStyle w:val="11"/>
        <w:adjustRightInd w:val="0"/>
        <w:snapToGrid w:val="0"/>
        <w:spacing w:line="440" w:lineRule="exact"/>
        <w:jc w:val="left"/>
        <w:rPr>
          <w:rFonts w:hint="default" w:eastAsia="宋体"/>
          <w:sz w:val="24"/>
          <w:lang w:val="en-US" w:eastAsia="zh-CN"/>
        </w:rPr>
      </w:pPr>
      <w:r>
        <w:rPr>
          <w:rFonts w:hint="eastAsia"/>
          <w:sz w:val="24"/>
        </w:rPr>
        <w:t>十二、国有资本经营预算财政拨款支出决算表</w:t>
      </w:r>
      <w:r>
        <w:rPr>
          <w:rFonts w:cstheme="minorBidi"/>
          <w:sz w:val="24"/>
        </w:rPr>
        <w:tab/>
      </w:r>
      <w:r>
        <w:rPr>
          <w:rFonts w:hint="eastAsia" w:cstheme="minorBidi"/>
          <w:sz w:val="24"/>
          <w:lang w:val="en-US" w:eastAsia="zh-CN"/>
        </w:rPr>
        <w:t>24</w:t>
      </w:r>
    </w:p>
    <w:p>
      <w:pPr>
        <w:pStyle w:val="11"/>
        <w:adjustRightInd w:val="0"/>
        <w:snapToGrid w:val="0"/>
        <w:spacing w:line="440" w:lineRule="exact"/>
        <w:jc w:val="left"/>
        <w:rPr>
          <w:rFonts w:hint="default" w:eastAsia="宋体"/>
          <w:sz w:val="24"/>
          <w:lang w:val="en-US" w:eastAsia="zh-CN"/>
        </w:rPr>
      </w:pPr>
      <w:r>
        <w:rPr>
          <w:rFonts w:hint="eastAsia"/>
          <w:sz w:val="24"/>
        </w:rPr>
        <w:t>十三、财政拨款“三公”经费支出决算表</w:t>
      </w:r>
      <w:r>
        <w:rPr>
          <w:rFonts w:cstheme="minorBidi"/>
          <w:sz w:val="24"/>
        </w:rPr>
        <w:tab/>
      </w:r>
      <w:r>
        <w:rPr>
          <w:rFonts w:hint="eastAsia" w:cstheme="minorBidi"/>
          <w:sz w:val="24"/>
          <w:lang w:val="en-US" w:eastAsia="zh-CN"/>
        </w:rPr>
        <w:t>24</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5"/>
          <w:rFonts w:ascii="黑体" w:hAnsi="黑体" w:eastAsia="黑体"/>
          <w:b/>
          <w:bCs w:val="0"/>
        </w:rPr>
      </w:pPr>
      <w:r>
        <w:rPr>
          <w:rFonts w:hint="eastAsia" w:ascii="黑体" w:hAnsi="黑体" w:eastAsia="黑体"/>
          <w:b w:val="0"/>
        </w:rPr>
        <w:t>第一部分 单位</w:t>
      </w:r>
      <w:r>
        <w:rPr>
          <w:rStyle w:val="25"/>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rPr>
          <w:rStyle w:val="26"/>
          <w:rFonts w:ascii="黑体" w:hAnsi="黑体" w:eastAsia="黑体"/>
          <w:b w:val="0"/>
          <w:bCs w:val="0"/>
        </w:rPr>
      </w:pPr>
      <w:bookmarkStart w:id="14" w:name="_Toc15377197"/>
      <w:bookmarkStart w:id="15" w:name="_Toc15396600"/>
      <w:r>
        <w:rPr>
          <w:rStyle w:val="26"/>
          <w:rFonts w:hint="eastAsia" w:ascii="黑体" w:hAnsi="黑体" w:eastAsia="黑体"/>
          <w:b w:val="0"/>
          <w:bCs w:val="0"/>
        </w:rPr>
        <w:t>主要职责</w:t>
      </w:r>
    </w:p>
    <w:p>
      <w:pPr>
        <w:pStyle w:val="4"/>
        <w:ind w:firstLine="320" w:firstLineChars="100"/>
        <w:rPr>
          <w:rFonts w:ascii="黑体" w:hAnsi="黑体" w:eastAsia="黑体"/>
          <w:b w:val="0"/>
          <w:bCs w:val="0"/>
        </w:rPr>
      </w:pPr>
      <w:r>
        <w:rPr>
          <w:rFonts w:hint="eastAsia" w:ascii="楷体_GB2312" w:hAnsi="仿宋" w:eastAsia="楷体_GB2312"/>
          <w:b w:val="0"/>
        </w:rPr>
        <w:t>（一）主要职能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制定公共资源现场交易管理办法和各项业务操作规程；负责承担公共资源交易服务平台、专家库、公共资源数据库系统的建设、维护和管理工作；核验参与公共资源交易活动各方主体资格和进场交易项目相关手续；为建设工程招投标、政府采购、国有土地矿权交易、国有资产等公共资源交易活动提供场所、设施、信息和现场管理服务；负责按规定实施现场秩序管理和监督工作，为相关行业部门监管提供协助，建立公共资源现场交易信用和纪律档案；收集、存储和发布公共资源信息，整理、保存交易过程中的相关资料备查；根据相关规定和委托，承担政府集中采购的事务性工作；负责公共资源交易投标保证金、履约保证金、竞买保证金的收退工作。</w:t>
      </w:r>
    </w:p>
    <w:p>
      <w:pPr>
        <w:pStyle w:val="2"/>
        <w:spacing w:before="93"/>
        <w:ind w:firstLine="640" w:firstLineChars="200"/>
        <w:rPr>
          <w:rFonts w:ascii="楷体_GB2312" w:eastAsia="楷体_GB2312"/>
          <w:sz w:val="32"/>
          <w:szCs w:val="32"/>
        </w:rPr>
      </w:pPr>
      <w:r>
        <w:rPr>
          <w:rFonts w:hint="eastAsia" w:ascii="楷体_GB2312" w:eastAsia="楷体_GB2312"/>
          <w:sz w:val="32"/>
          <w:szCs w:val="32"/>
        </w:rPr>
        <w:t>（二）2022年重点工作完成情况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（1）有序开展项目交易</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市本级公共资源交易平台进场交易项目415个，金额269.09亿元，其中：建设工程项目178个，金额44.18亿元；政府集中采购项目153个（含网上竞价），金额0.48亿元；土地矿产交易项目46个，金额22.93亿元；国有资产交易项目28个，金额5.27亿元；其他类交易项目10个，涉及金额196.23亿元。收到保证金6.01亿元，其中保函5.11亿元。（投标保证金3.45亿元，保函占比77%；履约保证金2.56亿元，保函占比96%）；完成非税征收2393.31万元，完成率398.89%。</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（2）拓宽公共资源交易范围</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鼓励公共资源交易目录外的项目进场交易，一是金沙江和雅砻江干流攀枝花段河道采砂权公开拍卖项目、攀枝花市银江湖水面项目经营权出让项目 、攀枝花市城市管理行政执法局户外广告设施拍卖及四川攀枝花格里坪特色产业园区企业生产用水供水特许经营权出让等特许经营权项目进入公共资源交易平台完成入场交易工作，涉及金额 6.31 亿元。二是顺利完成了大龙潭彝族乡混撒拉村“攀西零碳示范村”建设项目、攀枝花市仁和抽水蓄能电站项目优选业主比选项目和攀枝花市“十四五”期间第一批光伏资源开发优选项目业主项目的开（评）标工作，涉及金额189.92亿元，为扎实推进全市“水资源配置+抽水蓄能+新能源开发”建设和能源产业绿色高质量发展做出应有的贡献.</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（3）切实提升交易服务效能</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着力打造服务更好、效率更高、范围更广、交易更规范的公共资源交易营商环境，持续优化交易流程和工作机制，推进服务效能提升。一是强化公共资源交易平台管理。梳理工作流程更新服务事项，修订进场交易项目各流程，优化岗位标准，印发《攀枝花市公共资源交易现场服务行为规范》。二是主动服务为重点项目开辟“绿色通道”。整合专家抽取及入场验证、评标系统在线质疑和在线答复等事项，将“一事一流程”整合为“多事一流程”，助力“项目攻坚突破年”取得实效，为重点进场项目提供优先受理登记、优先安排场地。今年以来，为重点项目开通绿色通道服务10余次，保障重大项目的开评标工作顺利完成。三是推进政府集中采购机构标准化建设。认真贯彻落实深化政府采购制度改革，积极配合市级财政部门开展“四川省政府采购一体化平台”上线运行，对照一体化平台要求，实现政府采购项目接收、采购需求编制、招标文件编制及发布、开评标过程、结果发布、中标通知书发布到最后的档案管理等所有流程，实现政府采购全流程电子化交易。截至12月底，实现“一体化平台”政府采购项目 54 个。</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（4）打造规范化标准化管理的交易现场</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围绕交易平台职能职责，持续优化交易现场管理制度，提升精细化管理水平。一是全面实现交易项目全流程电子化。按照政务公开标准化规范化和交易服务“零跑腿”的目标要求，全面推广使用全国公共资源交易平台（四川·攀枝花）信息发布功能，实现所有交易项目从项目登记到项目验收全过程信息实时网上发布、网上获取，大幅提升各方交易主体获取项目交易信息的便捷度和透明度。截至12月底，共开展全流程电子化项目312个，涉及金额28.23亿元。二是深入开展“不见面开标”。利用监控、音频系统和网络等设施设备，实现开标过程全程直播、实时监控、全程留痕，实现网上开标场景全程动态呈现，减少“人情标”“感情标”风险，促进公共资源交易“阳光”“透明”。截至12月底，完成 “不见面开标”284个项目，其中：工程招投标“不见面开标”率达到92.61% ，为投标单位节约成本近百万元。三是建立开（评）标现场内外协作联动工作机制。围绕电子开（评）标系统使用，监督部门、业主（代理机构）和交易中心，在宣传推广、应用联动、突发情况处置等方面跨部门多联动，中心内部科室在业务受理、项目交易、技术支持、后勤保障等工作多维度分工协作，增强了交易平台精细化管理能力。四是深入开展“示范交易中心”创建活动。根据全省2022年“示范交易中心”创建活动的要求，积极组织、引导尚未成功创建“示范交易中心”的公共资源交易平台运行服务机构参加第三批的创建活动。对照“示范交易中心”标准，扎实开展了“回头看”工作，按照最新创建标准，切实抓好整改提升，巩固“示范交易中心”创建成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（5）强化异地远程评标工作的开展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立足公共资源交易领域全流程电子化的要求，坚持目标导向、问题导向、服务导向，深化区域协作，务实推进异地远程评标，助力交易平台一体化发展。一是广泛开展与相关区域交易中心的交流合作。省内与宜宾、遂宁、雅安等地，省外与重庆市永川区、江北区、河南安阳市、汤阴县等地公共资源交易机构，通过签订合作协议、实际开展业务活动、重大项目信息共享等方式，达成异地远程评标合作共识。今年以来，共开展远程异地评标项目54个，涉及金额5.38亿元，其中省外的河南安阳市、林州市、汤阴县、重庆等地开展远程异地评标项目5个。二是 “清单式”项目管理。联动合作交易中心，共同筛选进场交易项目，建立异地远程评标项目清单。对拟进行异地远程评标项目逐一明确主副场、评标系统、业务负责人、信息技术保障负责人、以及工作日程安排。从业务和信息技术保障两个层面，落实专人负责项目跟踪和协作推进。三是全方位提升异地远程评标项目交易质效。主动服务项目前期工作，围绕项目进场，向招标人解读公共资源交易有关法律法规政策、介绍电子交易平台一体化发展情况、宣传异地远程评标意义、讲解相关工作规程和业务流程。项目运行中，把好项目公告、专家抽取、现场监督、应急保障、资料归集等关键环节，为异地远程评标搭建良好平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（6）持续深化公共资源交易服务“五 减”工作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紧紧围绕 “减环节、减材料、减时限、减费用、减风险”工作要求，一是大力推广电子保函。为优化营商环境，通过电话推广、业务现场咨询等方式对各投标人进行大力推广，让交易各方了解并且能熟练使用此项业务，进一步减轻交易主体参与的资金压力。今年以来，收到电子保函1589份，担保金额2.66亿元，电子保函占比77%，切实减轻企业负担。二是加强交易现场效能建设。对进场交易各方行为规范进行明确规定，并实现制度上墙，规范评标及监督行为，推进公共资源交易流程清晰、职责明确、管理规范，不断扩充“全程网办”服务事项，投标保证金退付、工程建设信息发布、政府采购信息发布、矿业权及土地转让信息发布、资产资源信息发布5个交易服务事项实现全程网办，全程网办率达100%，打通服务群众“最后一公里”，节约办事企业的经济成本和时间成本。三是持续精简交易服务事项。紧跟公共资源交易法律法规和政策变化，梳理平台各个重点服务事项的薄弱环节、重复操作、冗长步骤、多余资料，实现线上线下融合办理，压缩办理时限，加强全流程监督管理，实行“一次告知、一套材料、统一受理、统一办理”，从受理项目公告到挂网间隔时效提高50%，减免政府采购退付履约保证金验收报告、开标入场登记表、业主单位统一社会信用代码书、代理机构统一社会信用代码证书4项材料。四是切实</w:t>
      </w:r>
      <w:r>
        <w:rPr>
          <w:rFonts w:hint="eastAsia" w:ascii="仿宋_GB2312" w:eastAsia="仿宋_GB2312"/>
          <w:b/>
          <w:sz w:val="32"/>
          <w:szCs w:val="32"/>
        </w:rPr>
        <w:t>减轻企业负担</w:t>
      </w:r>
      <w:r>
        <w:rPr>
          <w:rFonts w:hint="eastAsia" w:ascii="仿宋_GB2312" w:eastAsia="仿宋_GB2312"/>
          <w:sz w:val="32"/>
          <w:szCs w:val="32"/>
        </w:rPr>
        <w:t>。积极清退保证金，为进一步深化“放管服”改革，优化营商环境，针对保证金管理工作以来，全面清理投标保证金和履约保证金。通过函告、电话、邮寄等多种方式，联系项目业主和中标单位</w:t>
      </w:r>
      <w:r>
        <w:rPr>
          <w:rFonts w:eastAsia="仿宋_GB2312"/>
          <w:sz w:val="32"/>
          <w:szCs w:val="32"/>
        </w:rPr>
        <w:t>300</w:t>
      </w:r>
      <w:r>
        <w:rPr>
          <w:rFonts w:hint="eastAsia" w:ascii="仿宋_GB2312" w:eastAsia="仿宋_GB2312"/>
          <w:sz w:val="32"/>
          <w:szCs w:val="32"/>
        </w:rPr>
        <w:t>余次，共清理保证金项目</w:t>
      </w:r>
      <w:r>
        <w:rPr>
          <w:rFonts w:eastAsia="仿宋_GB2312"/>
          <w:sz w:val="32"/>
          <w:szCs w:val="32"/>
        </w:rPr>
        <w:t>659</w:t>
      </w:r>
      <w:r>
        <w:rPr>
          <w:rFonts w:hint="eastAsia" w:ascii="仿宋_GB2312" w:eastAsia="仿宋_GB2312"/>
          <w:sz w:val="32"/>
          <w:szCs w:val="32"/>
        </w:rPr>
        <w:t>个，金额</w:t>
      </w:r>
      <w:r>
        <w:rPr>
          <w:rFonts w:eastAsia="仿宋_GB2312"/>
          <w:sz w:val="32"/>
          <w:szCs w:val="32"/>
        </w:rPr>
        <w:t>5134.41</w:t>
      </w:r>
      <w:r>
        <w:rPr>
          <w:rFonts w:hint="eastAsia" w:ascii="仿宋_GB2312" w:eastAsia="仿宋_GB2312"/>
          <w:sz w:val="32"/>
          <w:szCs w:val="32"/>
        </w:rPr>
        <w:t>万元，因投标人或供应商公司注销和无法联系的投标保证金和履约保证金，下一步将作为呆账清理一并上交市本级国库。</w:t>
      </w:r>
    </w:p>
    <w:p>
      <w:pPr>
        <w:spacing w:line="600" w:lineRule="exact"/>
        <w:ind w:firstLine="640" w:firstLineChars="200"/>
        <w:jc w:val="left"/>
        <w:rPr>
          <w:rFonts w:ascii="仿宋_GB2312" w:eastAsia="仿宋_GB2312"/>
          <w:sz w:val="32"/>
          <w:szCs w:val="32"/>
        </w:rPr>
      </w:pPr>
      <w:r>
        <w:rPr>
          <w:rFonts w:hint="eastAsia" w:ascii="楷体_GB2312" w:hAnsi="微软雅黑" w:eastAsia="楷体_GB2312" w:cs="宋体"/>
          <w:kern w:val="0"/>
          <w:sz w:val="32"/>
          <w:szCs w:val="32"/>
        </w:rPr>
        <w:t>（7）巩固工程招投标领域突出问题系统治理成果</w:t>
      </w:r>
    </w:p>
    <w:p>
      <w:pPr>
        <w:spacing w:line="600" w:lineRule="exact"/>
        <w:ind w:firstLine="643"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一是加强交易现场监督管理。</w:t>
      </w:r>
      <w:r>
        <w:rPr>
          <w:rFonts w:hint="eastAsia" w:ascii="仿宋_GB2312" w:hAnsi="仿宋_GB2312" w:eastAsia="仿宋_GB2312" w:cs="仿宋_GB2312"/>
          <w:sz w:val="32"/>
          <w:szCs w:val="32"/>
        </w:rPr>
        <w:t>根据《四川省评标专家和综合评标专家库管理办法》，对评标现场的管理规定并履行对专家不良行为的抄告义务，将评标专家违反现场纪律情况及证明材料抄告相关行政监督部门依法调查处理。</w:t>
      </w:r>
      <w:r>
        <w:rPr>
          <w:rFonts w:hint="eastAsia" w:ascii="仿宋_GB2312" w:hAnsi="微软雅黑" w:eastAsia="仿宋_GB2312" w:cs="宋体"/>
          <w:b/>
          <w:kern w:val="0"/>
          <w:sz w:val="32"/>
          <w:szCs w:val="32"/>
        </w:rPr>
        <w:t>二是配合执法部门查处案件。</w:t>
      </w:r>
      <w:r>
        <w:rPr>
          <w:rFonts w:hint="eastAsia" w:ascii="仿宋_GB2312" w:hAnsi="仿宋_GB2312" w:eastAsia="仿宋_GB2312" w:cs="仿宋_GB2312"/>
          <w:sz w:val="32"/>
          <w:szCs w:val="32"/>
        </w:rPr>
        <w:t>积极配合做好案件调查取证等相关工作，</w:t>
      </w:r>
      <w:r>
        <w:rPr>
          <w:rFonts w:ascii="仿宋_GB2312" w:hAnsi="仿宋_GB2312" w:eastAsia="仿宋_GB2312" w:cs="仿宋_GB2312"/>
          <w:sz w:val="32"/>
          <w:szCs w:val="32"/>
        </w:rPr>
        <w:t>及时纠正、如实记录并按规定移送不良行为和问题线索,视情曝光违法违规行为</w:t>
      </w:r>
      <w:r>
        <w:rPr>
          <w:rFonts w:hint="eastAsia" w:ascii="仿宋_GB2312" w:hAnsi="仿宋_GB2312" w:eastAsia="仿宋_GB2312" w:cs="仿宋_GB2312"/>
          <w:sz w:val="32"/>
          <w:szCs w:val="32"/>
        </w:rPr>
        <w:t>并</w:t>
      </w:r>
      <w:r>
        <w:rPr>
          <w:rFonts w:ascii="仿宋_GB2312" w:hAnsi="仿宋_GB2312" w:eastAsia="仿宋_GB2312" w:cs="仿宋_GB2312"/>
          <w:sz w:val="32"/>
          <w:szCs w:val="32"/>
        </w:rPr>
        <w:t>建立不良行为记录、移送、曝光台账和档案查询记录</w:t>
      </w:r>
      <w:r>
        <w:rPr>
          <w:rFonts w:hint="eastAsia" w:ascii="仿宋_GB2312" w:hAnsi="仿宋_GB2312" w:eastAsia="仿宋_GB2312" w:cs="仿宋_GB2312"/>
          <w:sz w:val="32"/>
          <w:szCs w:val="32"/>
        </w:rPr>
        <w:t>。今年以来，配合公安等部门调查取证</w:t>
      </w:r>
      <w:r>
        <w:rPr>
          <w:rFonts w:eastAsia="仿宋_GB2312"/>
          <w:sz w:val="32"/>
          <w:szCs w:val="32"/>
        </w:rPr>
        <w:t>15</w:t>
      </w:r>
      <w:r>
        <w:rPr>
          <w:rFonts w:hint="eastAsia" w:eastAsia="仿宋_GB2312"/>
          <w:sz w:val="32"/>
          <w:szCs w:val="32"/>
        </w:rPr>
        <w:t>83</w:t>
      </w:r>
      <w:r>
        <w:rPr>
          <w:rFonts w:hint="eastAsia" w:ascii="仿宋_GB2312" w:hAnsi="仿宋_GB2312" w:eastAsia="仿宋_GB2312" w:cs="仿宋_GB2312"/>
          <w:sz w:val="32"/>
          <w:szCs w:val="32"/>
        </w:rPr>
        <w:t>份。</w:t>
      </w:r>
    </w:p>
    <w:p>
      <w:pPr>
        <w:spacing w:line="600" w:lineRule="exact"/>
        <w:ind w:firstLine="640" w:firstLineChars="200"/>
        <w:textAlignment w:val="baseline"/>
        <w:rPr>
          <w:rFonts w:ascii="仿宋_GB2312" w:hAnsi="仿宋_GB2312" w:eastAsia="仿宋_GB2312" w:cs="仿宋_GB2312"/>
          <w:sz w:val="32"/>
          <w:szCs w:val="32"/>
        </w:rPr>
      </w:pPr>
      <w:r>
        <w:rPr>
          <w:rFonts w:hint="eastAsia" w:ascii="楷体_GB2312" w:hAnsi="微软雅黑" w:eastAsia="楷体_GB2312" w:cs="宋体"/>
          <w:kern w:val="0"/>
          <w:sz w:val="32"/>
          <w:szCs w:val="32"/>
        </w:rPr>
        <w:t>（8）常态化开展党风廉政建设</w:t>
      </w:r>
    </w:p>
    <w:p>
      <w:pPr>
        <w:spacing w:line="600" w:lineRule="exact"/>
        <w:ind w:firstLine="640" w:firstLineChars="200"/>
        <w:textAlignment w:val="baseline"/>
        <w:rPr>
          <w:rFonts w:ascii="仿宋_GB2312" w:hAnsi="仿宋" w:eastAsia="仿宋_GB2312"/>
          <w:sz w:val="32"/>
          <w:szCs w:val="32"/>
        </w:rPr>
      </w:pPr>
      <w:r>
        <w:rPr>
          <w:rFonts w:hint="eastAsia" w:ascii="仿宋_GB2312" w:hAnsi="微软雅黑" w:eastAsia="仿宋_GB2312" w:cs="宋体"/>
          <w:kern w:val="0"/>
          <w:sz w:val="32"/>
          <w:szCs w:val="32"/>
        </w:rPr>
        <w:t>一</w:t>
      </w:r>
      <w:r>
        <w:rPr>
          <w:rFonts w:hint="eastAsia" w:ascii="仿宋_GB2312" w:hAnsi="微软雅黑" w:eastAsia="仿宋_GB2312" w:cs="宋体"/>
          <w:b/>
          <w:bCs/>
          <w:kern w:val="0"/>
          <w:sz w:val="32"/>
          <w:szCs w:val="32"/>
        </w:rPr>
        <w:t>是</w:t>
      </w:r>
      <w:r>
        <w:rPr>
          <w:rFonts w:hint="eastAsia" w:eastAsia="仿宋_GB2312"/>
          <w:b/>
          <w:bCs/>
          <w:sz w:val="32"/>
          <w:szCs w:val="32"/>
        </w:rPr>
        <w:t>完善廉政风险排查。</w:t>
      </w:r>
      <w:r>
        <w:rPr>
          <w:rFonts w:hint="eastAsia" w:ascii="仿宋_GB2312" w:hAnsi="仿宋" w:eastAsia="仿宋_GB2312" w:cs="Arial"/>
          <w:kern w:val="0"/>
          <w:sz w:val="32"/>
          <w:szCs w:val="32"/>
          <w:shd w:val="clear" w:color="auto" w:fill="FFFFFF"/>
        </w:rPr>
        <w:t>全面排查廉政风险点</w:t>
      </w:r>
      <w:r>
        <w:rPr>
          <w:rFonts w:eastAsia="仿宋_GB2312"/>
          <w:kern w:val="0"/>
          <w:sz w:val="32"/>
          <w:szCs w:val="32"/>
          <w:shd w:val="clear" w:color="auto" w:fill="FFFFFF"/>
        </w:rPr>
        <w:t>57</w:t>
      </w:r>
      <w:r>
        <w:rPr>
          <w:rFonts w:hint="eastAsia" w:ascii="仿宋_GB2312" w:hAnsi="仿宋" w:eastAsia="仿宋_GB2312" w:cs="Arial"/>
          <w:kern w:val="0"/>
          <w:sz w:val="32"/>
          <w:szCs w:val="32"/>
          <w:shd w:val="clear" w:color="auto" w:fill="FFFFFF"/>
        </w:rPr>
        <w:t>个，科学评定风险等级，切实强化对公共资源交易重点环节、重点岗位廉政风险的源头治理。</w:t>
      </w:r>
      <w:r>
        <w:rPr>
          <w:rFonts w:hint="eastAsia" w:ascii="仿宋_GB2312" w:hAnsi="微软雅黑" w:eastAsia="仿宋_GB2312" w:cs="宋体"/>
          <w:b/>
          <w:bCs/>
          <w:kern w:val="0"/>
          <w:sz w:val="32"/>
          <w:szCs w:val="32"/>
        </w:rPr>
        <w:t>二是</w:t>
      </w:r>
      <w:r>
        <w:rPr>
          <w:rFonts w:hint="eastAsia" w:ascii="仿宋_GB2312" w:hAnsi="微软雅黑" w:eastAsia="仿宋_GB2312" w:cs="宋体"/>
          <w:b/>
          <w:kern w:val="0"/>
          <w:sz w:val="32"/>
          <w:szCs w:val="32"/>
        </w:rPr>
        <w:t>加强廉政教育。</w:t>
      </w:r>
      <w:r>
        <w:rPr>
          <w:rFonts w:hint="eastAsia" w:ascii="仿宋_GB2312" w:hAnsi="微软雅黑" w:eastAsia="仿宋_GB2312" w:cs="宋体"/>
          <w:kern w:val="0"/>
          <w:sz w:val="32"/>
          <w:szCs w:val="32"/>
        </w:rPr>
        <w:t>筑牢交易工作“防腐墙”，通过开展廉政党课、廉政谈话、以案说纪释法等廉政教育活动，将廉政风险防控体系内化于心、外化于行，做到防微杜渐、筑牢底线，形成廉洁风险防控压力层层传导机制。</w:t>
      </w:r>
    </w:p>
    <w:p>
      <w:pPr>
        <w:pStyle w:val="4"/>
        <w:rPr>
          <w:rFonts w:ascii="黑体" w:hAnsi="黑体" w:eastAsia="黑体"/>
          <w:b w:val="0"/>
        </w:rPr>
      </w:pPr>
      <w:r>
        <w:rPr>
          <w:rFonts w:hint="eastAsia" w:ascii="黑体" w:hAnsi="黑体" w:eastAsia="黑体"/>
          <w:b w:val="0"/>
        </w:rPr>
        <w:t>二、机构设置</w:t>
      </w:r>
    </w:p>
    <w:p>
      <w:pPr>
        <w:ind w:firstLine="640" w:firstLineChars="200"/>
      </w:pPr>
      <w:r>
        <w:rPr>
          <w:rFonts w:hint="eastAsia" w:ascii="仿宋_GB2312" w:eastAsia="仿宋_GB2312"/>
          <w:sz w:val="32"/>
          <w:szCs w:val="32"/>
        </w:rPr>
        <w:t>攀枝花市公共资源交易服务中心为攀枝花市政务服务管理局下属财政全额拨款的二级预算单位，机关规格为副县级。按照市委编办核定的人员编制21名，其中领导班子配备一正两副，正职按照副县级领导管理。</w:t>
      </w:r>
    </w:p>
    <w:bookmarkEnd w:id="14"/>
    <w:bookmarkEnd w:id="15"/>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5"/>
          <w:rFonts w:ascii="黑体" w:hAnsi="黑体" w:eastAsia="黑体"/>
          <w:b w:val="0"/>
          <w:bCs/>
        </w:rPr>
      </w:pPr>
      <w:bookmarkStart w:id="16" w:name="_Toc15396602"/>
      <w:bookmarkStart w:id="17" w:name="_Toc15377204"/>
      <w:r>
        <w:rPr>
          <w:rFonts w:hint="eastAsia" w:ascii="黑体" w:hAnsi="黑体" w:eastAsia="黑体"/>
          <w:b w:val="0"/>
        </w:rPr>
        <w:t>第二部分 2022年度</w:t>
      </w:r>
      <w:r>
        <w:rPr>
          <w:rStyle w:val="25"/>
          <w:rFonts w:hint="eastAsia" w:ascii="黑体" w:hAnsi="黑体" w:eastAsia="黑体"/>
          <w:b w:val="0"/>
          <w:bCs/>
        </w:rPr>
        <w:t>单位决算情况说明</w:t>
      </w:r>
      <w:bookmarkEnd w:id="16"/>
      <w:bookmarkEnd w:id="17"/>
    </w:p>
    <w:p/>
    <w:p>
      <w:pPr>
        <w:pStyle w:val="24"/>
        <w:numPr>
          <w:ilvl w:val="0"/>
          <w:numId w:val="2"/>
        </w:numPr>
        <w:spacing w:line="600" w:lineRule="exact"/>
        <w:ind w:firstLineChars="0"/>
        <w:outlineLvl w:val="1"/>
        <w:rPr>
          <w:rStyle w:val="26"/>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6"/>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w:t>
      </w:r>
      <w:r>
        <w:rPr>
          <w:rFonts w:ascii="仿宋" w:hAnsi="仿宋" w:eastAsia="仿宋"/>
          <w:sz w:val="32"/>
          <w:szCs w:val="32"/>
        </w:rPr>
        <w:t>451.79</w:t>
      </w:r>
      <w:r>
        <w:rPr>
          <w:rFonts w:hint="eastAsia" w:ascii="仿宋" w:hAnsi="仿宋" w:eastAsia="仿宋"/>
          <w:sz w:val="32"/>
          <w:szCs w:val="32"/>
        </w:rPr>
        <w:t>万元。与2021年相比，收入增加37.47万元，增长19.26</w:t>
      </w:r>
      <w:r>
        <w:rPr>
          <w:rFonts w:ascii="仿宋" w:hAnsi="仿宋" w:eastAsia="仿宋"/>
          <w:sz w:val="32"/>
          <w:szCs w:val="32"/>
        </w:rPr>
        <w:t>%</w:t>
      </w:r>
      <w:r>
        <w:rPr>
          <w:rFonts w:hint="eastAsia" w:ascii="仿宋" w:hAnsi="仿宋" w:eastAsia="仿宋"/>
          <w:sz w:val="32"/>
          <w:szCs w:val="32"/>
        </w:rPr>
        <w:t>。支出增加45.99万元，增长11.35</w:t>
      </w:r>
      <w:r>
        <w:rPr>
          <w:rFonts w:ascii="仿宋" w:hAnsi="仿宋" w:eastAsia="仿宋"/>
          <w:sz w:val="32"/>
          <w:szCs w:val="32"/>
        </w:rPr>
        <w:t>%</w:t>
      </w:r>
      <w:r>
        <w:rPr>
          <w:rFonts w:hint="eastAsia" w:ascii="仿宋" w:hAnsi="仿宋" w:eastAsia="仿宋"/>
          <w:sz w:val="32"/>
          <w:szCs w:val="32"/>
        </w:rPr>
        <w:t>。主要变动原因是交易范围扩大，2022年新增能源类特许经营权类的交易增加相应的运行成本。</w:t>
      </w:r>
    </w:p>
    <w:p>
      <w:pPr>
        <w:pStyle w:val="2"/>
        <w:spacing w:before="93"/>
      </w:pPr>
      <w:r>
        <w:drawing>
          <wp:inline distT="0" distB="0" distL="0" distR="0">
            <wp:extent cx="5274310" cy="3076575"/>
            <wp:effectExtent l="0" t="0" r="2159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
        <w:spacing w:before="93"/>
      </w:pPr>
    </w:p>
    <w:p>
      <w:pPr>
        <w:pStyle w:val="24"/>
        <w:numPr>
          <w:ilvl w:val="0"/>
          <w:numId w:val="2"/>
        </w:numPr>
        <w:spacing w:line="600" w:lineRule="exact"/>
        <w:ind w:firstLineChars="0"/>
        <w:outlineLvl w:val="1"/>
        <w:rPr>
          <w:rStyle w:val="26"/>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6"/>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w:t>
      </w:r>
      <w:r>
        <w:rPr>
          <w:rFonts w:ascii="仿宋" w:hAnsi="仿宋" w:eastAsia="仿宋"/>
          <w:sz w:val="32"/>
          <w:szCs w:val="32"/>
        </w:rPr>
        <w:t>442.32</w:t>
      </w:r>
      <w:r>
        <w:rPr>
          <w:rFonts w:hint="eastAsia" w:ascii="仿宋" w:hAnsi="仿宋" w:eastAsia="仿宋"/>
          <w:sz w:val="32"/>
          <w:szCs w:val="32"/>
        </w:rPr>
        <w:t>万元，其中：一般公共预算财政拨款收入</w:t>
      </w:r>
      <w:r>
        <w:rPr>
          <w:rFonts w:ascii="仿宋" w:hAnsi="仿宋" w:eastAsia="仿宋"/>
          <w:sz w:val="32"/>
          <w:szCs w:val="32"/>
        </w:rPr>
        <w:t>442.32</w:t>
      </w:r>
      <w:r>
        <w:rPr>
          <w:rFonts w:hint="eastAsia" w:ascii="仿宋" w:hAnsi="仿宋" w:eastAsia="仿宋"/>
          <w:sz w:val="32"/>
          <w:szCs w:val="32"/>
        </w:rPr>
        <w:t>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pStyle w:val="2"/>
        <w:spacing w:before="93"/>
      </w:pPr>
      <w:r>
        <w:drawing>
          <wp:inline distT="0" distB="0" distL="0" distR="0">
            <wp:extent cx="5276850" cy="2886075"/>
            <wp:effectExtent l="0" t="0" r="19050"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2"/>
        <w:spacing w:before="93"/>
      </w:pPr>
    </w:p>
    <w:p>
      <w:pPr>
        <w:pStyle w:val="24"/>
        <w:numPr>
          <w:ilvl w:val="0"/>
          <w:numId w:val="2"/>
        </w:numPr>
        <w:spacing w:line="600" w:lineRule="exact"/>
        <w:ind w:firstLineChars="0"/>
        <w:outlineLvl w:val="1"/>
        <w:rPr>
          <w:rStyle w:val="26"/>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6"/>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w:t>
      </w:r>
      <w:r>
        <w:rPr>
          <w:rFonts w:ascii="仿宋" w:hAnsi="仿宋" w:eastAsia="仿宋"/>
          <w:sz w:val="32"/>
          <w:szCs w:val="32"/>
        </w:rPr>
        <w:t>451.29</w:t>
      </w:r>
      <w:r>
        <w:rPr>
          <w:rFonts w:hint="eastAsia" w:ascii="仿宋" w:hAnsi="仿宋" w:eastAsia="仿宋"/>
          <w:sz w:val="32"/>
          <w:szCs w:val="32"/>
        </w:rPr>
        <w:t>万元，其中：基本支出</w:t>
      </w:r>
      <w:r>
        <w:rPr>
          <w:rFonts w:ascii="仿宋" w:hAnsi="仿宋" w:eastAsia="仿宋"/>
          <w:sz w:val="32"/>
          <w:szCs w:val="32"/>
        </w:rPr>
        <w:t>333.73</w:t>
      </w:r>
      <w:r>
        <w:rPr>
          <w:rFonts w:hint="eastAsia" w:ascii="仿宋" w:hAnsi="仿宋" w:eastAsia="仿宋"/>
          <w:sz w:val="32"/>
          <w:szCs w:val="32"/>
        </w:rPr>
        <w:t>万元，占73.95</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sz w:val="32"/>
          <w:szCs w:val="32"/>
        </w:rPr>
        <w:t>117.57</w:t>
      </w:r>
      <w:r>
        <w:rPr>
          <w:rFonts w:hint="eastAsia" w:ascii="仿宋" w:hAnsi="仿宋" w:eastAsia="仿宋"/>
          <w:sz w:val="32"/>
          <w:szCs w:val="32"/>
        </w:rPr>
        <w:t>万元，占26.05</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pStyle w:val="2"/>
        <w:spacing w:before="93"/>
      </w:pPr>
      <w:r>
        <w:rPr>
          <w:rFonts w:hint="eastAsia"/>
        </w:rPr>
        <w:drawing>
          <wp:inline distT="0" distB="0" distL="0" distR="0">
            <wp:extent cx="5581650" cy="2914650"/>
            <wp:effectExtent l="0" t="0" r="19050" b="190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pStyle w:val="2"/>
        <w:spacing w:before="93"/>
      </w:pPr>
    </w:p>
    <w:p>
      <w:pPr>
        <w:spacing w:line="600" w:lineRule="exact"/>
        <w:ind w:firstLine="640" w:firstLineChars="200"/>
        <w:outlineLvl w:val="1"/>
        <w:rPr>
          <w:rStyle w:val="26"/>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w:t>
      </w:r>
      <w:r>
        <w:rPr>
          <w:rFonts w:ascii="仿宋" w:hAnsi="仿宋" w:eastAsia="仿宋"/>
          <w:sz w:val="32"/>
          <w:szCs w:val="32"/>
        </w:rPr>
        <w:t>451.79</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21年相比，财政拨款收入增加37.47万元，增长9.26</w:t>
      </w:r>
      <w:r>
        <w:rPr>
          <w:rFonts w:ascii="仿宋" w:hAnsi="仿宋" w:eastAsia="仿宋"/>
          <w:sz w:val="32"/>
          <w:szCs w:val="32"/>
        </w:rPr>
        <w:t>%</w:t>
      </w:r>
      <w:r>
        <w:rPr>
          <w:rFonts w:hint="eastAsia" w:ascii="仿宋" w:hAnsi="仿宋" w:eastAsia="仿宋"/>
          <w:sz w:val="32"/>
          <w:szCs w:val="32"/>
        </w:rPr>
        <w:t>。支出增加45.99万元，增长11.35</w:t>
      </w:r>
      <w:r>
        <w:rPr>
          <w:rFonts w:ascii="仿宋" w:hAnsi="仿宋" w:eastAsia="仿宋"/>
          <w:sz w:val="32"/>
          <w:szCs w:val="32"/>
        </w:rPr>
        <w:t>%</w:t>
      </w:r>
      <w:r>
        <w:rPr>
          <w:rFonts w:hint="eastAsia" w:ascii="仿宋" w:hAnsi="仿宋" w:eastAsia="仿宋"/>
          <w:sz w:val="32"/>
          <w:szCs w:val="32"/>
        </w:rPr>
        <w:t>。主要变动原因是交易范围扩大，2022年新增能源类特许经营权类的交易增加相应的运行成本。</w:t>
      </w:r>
    </w:p>
    <w:p>
      <w:pPr>
        <w:pStyle w:val="2"/>
        <w:spacing w:before="93"/>
      </w:pPr>
      <w:r>
        <w:drawing>
          <wp:inline distT="0" distB="0" distL="0" distR="0">
            <wp:extent cx="5274310" cy="3076575"/>
            <wp:effectExtent l="0" t="0" r="21590"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firstLineChars="200"/>
        <w:outlineLvl w:val="1"/>
        <w:rPr>
          <w:rFonts w:ascii="黑体" w:hAnsi="黑体" w:eastAsia="黑体"/>
          <w:sz w:val="32"/>
          <w:szCs w:val="32"/>
        </w:rPr>
      </w:pPr>
      <w:bookmarkStart w:id="26" w:name="_Toc15396607"/>
      <w:bookmarkStart w:id="27" w:name="_Toc15377209"/>
    </w:p>
    <w:p>
      <w:pPr>
        <w:spacing w:line="600" w:lineRule="exact"/>
        <w:ind w:firstLine="640" w:firstLineChars="200"/>
        <w:outlineLvl w:val="1"/>
        <w:rPr>
          <w:rStyle w:val="26"/>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ascii="仿宋" w:hAnsi="仿宋" w:eastAsia="仿宋"/>
          <w:sz w:val="32"/>
          <w:szCs w:val="32"/>
        </w:rPr>
        <w:t>451.29</w:t>
      </w:r>
      <w:r>
        <w:rPr>
          <w:rFonts w:hint="eastAsia" w:ascii="仿宋" w:hAnsi="仿宋" w:eastAsia="仿宋"/>
          <w:sz w:val="32"/>
          <w:szCs w:val="32"/>
        </w:rPr>
        <w:t>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21年相比，一般公共预算财政拨款支出增加45.99万元，增长11.35</w:t>
      </w:r>
      <w:r>
        <w:rPr>
          <w:rFonts w:ascii="仿宋" w:hAnsi="仿宋" w:eastAsia="仿宋"/>
          <w:sz w:val="32"/>
          <w:szCs w:val="32"/>
        </w:rPr>
        <w:t>%</w:t>
      </w:r>
      <w:r>
        <w:rPr>
          <w:rFonts w:hint="eastAsia" w:ascii="仿宋" w:hAnsi="仿宋" w:eastAsia="仿宋"/>
          <w:sz w:val="32"/>
          <w:szCs w:val="32"/>
        </w:rPr>
        <w:t>。主要变动原因是交易范围扩大，2022年新增能源类特许经营权类的交易增加相应的运行成本。</w:t>
      </w:r>
    </w:p>
    <w:p>
      <w:pPr>
        <w:pStyle w:val="2"/>
        <w:spacing w:before="93"/>
      </w:pPr>
      <w:r>
        <w:drawing>
          <wp:inline distT="0" distB="0" distL="0" distR="0">
            <wp:extent cx="5274310" cy="3076575"/>
            <wp:effectExtent l="0" t="0" r="21590" b="952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ascii="仿宋" w:hAnsi="仿宋" w:eastAsia="仿宋"/>
          <w:sz w:val="32"/>
          <w:szCs w:val="32"/>
        </w:rPr>
        <w:t>451.29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ascii="仿宋" w:hAnsi="仿宋" w:eastAsia="仿宋"/>
          <w:sz w:val="32"/>
          <w:szCs w:val="32"/>
        </w:rPr>
        <w:t>394.95</w:t>
      </w:r>
      <w:r>
        <w:rPr>
          <w:rFonts w:hint="eastAsia" w:ascii="仿宋" w:hAnsi="仿宋" w:eastAsia="仿宋"/>
          <w:sz w:val="32"/>
          <w:szCs w:val="32"/>
        </w:rPr>
        <w:t>万元，占87.51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ascii="仿宋" w:hAnsi="仿宋" w:eastAsia="仿宋"/>
          <w:sz w:val="32"/>
          <w:szCs w:val="32"/>
        </w:rPr>
        <w:t>28.38</w:t>
      </w:r>
      <w:r>
        <w:rPr>
          <w:rFonts w:hint="eastAsia" w:ascii="仿宋" w:hAnsi="仿宋" w:eastAsia="仿宋"/>
          <w:sz w:val="32"/>
          <w:szCs w:val="32"/>
        </w:rPr>
        <w:t>万元，占6.29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ascii="仿宋" w:hAnsi="仿宋" w:eastAsia="仿宋"/>
          <w:sz w:val="32"/>
          <w:szCs w:val="32"/>
        </w:rPr>
        <w:t>27.97</w:t>
      </w:r>
      <w:r>
        <w:rPr>
          <w:rFonts w:hint="eastAsia" w:ascii="仿宋" w:hAnsi="仿宋" w:eastAsia="仿宋"/>
          <w:sz w:val="32"/>
          <w:szCs w:val="32"/>
        </w:rPr>
        <w:t>万元，占6.20</w:t>
      </w:r>
      <w:r>
        <w:rPr>
          <w:rFonts w:ascii="仿宋" w:hAnsi="仿宋" w:eastAsia="仿宋"/>
          <w:sz w:val="32"/>
          <w:szCs w:val="32"/>
        </w:rPr>
        <w:t>%</w:t>
      </w:r>
      <w:r>
        <w:rPr>
          <w:rFonts w:hint="eastAsia" w:ascii="仿宋" w:hAnsi="仿宋" w:eastAsia="仿宋"/>
          <w:sz w:val="32"/>
          <w:szCs w:val="32"/>
        </w:rPr>
        <w:t>。</w:t>
      </w:r>
    </w:p>
    <w:p>
      <w:pPr>
        <w:pStyle w:val="2"/>
        <w:spacing w:before="93"/>
      </w:pPr>
      <w:r>
        <w:rPr>
          <w:rFonts w:hint="eastAsia"/>
        </w:rPr>
        <w:drawing>
          <wp:inline distT="0" distB="0" distL="0" distR="0">
            <wp:extent cx="5410200" cy="2581275"/>
            <wp:effectExtent l="0" t="0" r="19050" b="952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444"/>
      <w:bookmarkStart w:id="32" w:name="_Toc15377213"/>
      <w:bookmarkStart w:id="33" w:name="_Toc15378460"/>
      <w:r>
        <w:rPr>
          <w:rFonts w:hint="eastAsia" w:ascii="仿宋" w:hAnsi="仿宋" w:eastAsia="仿宋"/>
          <w:b/>
          <w:sz w:val="32"/>
          <w:szCs w:val="32"/>
        </w:rPr>
        <w:t>2022年一般公共预算支出决算数为</w:t>
      </w:r>
      <w:r>
        <w:rPr>
          <w:rFonts w:ascii="仿宋" w:hAnsi="仿宋" w:eastAsia="仿宋"/>
          <w:b/>
          <w:sz w:val="32"/>
          <w:szCs w:val="32"/>
        </w:rPr>
        <w:t>451.29</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1.</w:t>
      </w:r>
      <w:r>
        <w:rPr>
          <w:rStyle w:val="15"/>
          <w:rFonts w:hint="eastAsia" w:ascii="仿宋" w:hAnsi="仿宋" w:eastAsia="仿宋"/>
          <w:bCs/>
          <w:sz w:val="32"/>
          <w:szCs w:val="32"/>
        </w:rPr>
        <w:t>一般公共服务（类）政府办公厅（室）及相关机构事务（款）事业运行（项）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ascii="仿宋" w:hAnsi="仿宋" w:eastAsia="仿宋"/>
          <w:b w:val="0"/>
          <w:bCs/>
          <w:sz w:val="32"/>
          <w:szCs w:val="32"/>
        </w:rPr>
        <w:t>394.95</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，决算数大于预算数的主要原因是</w:t>
      </w:r>
      <w:r>
        <w:rPr>
          <w:rFonts w:hint="eastAsia" w:ascii="仿宋" w:hAnsi="仿宋" w:eastAsia="仿宋"/>
          <w:sz w:val="32"/>
          <w:szCs w:val="32"/>
        </w:rPr>
        <w:t>主要变动原因是交易范围扩大，2022年新增能源类特许经营权类的交易增加相应的运行成本</w:t>
      </w:r>
      <w:r>
        <w:rPr>
          <w:rStyle w:val="15"/>
          <w:rFonts w:hint="eastAsia" w:ascii="仿宋" w:hAnsi="仿宋" w:eastAsia="仿宋"/>
          <w:b w:val="0"/>
          <w:bCs/>
          <w:sz w:val="32"/>
          <w:szCs w:val="32"/>
        </w:rPr>
        <w:t>。</w:t>
      </w:r>
    </w:p>
    <w:p>
      <w:pPr>
        <w:spacing w:line="600" w:lineRule="exact"/>
        <w:ind w:firstLine="964" w:firstLineChars="300"/>
        <w:rPr>
          <w:rStyle w:val="15"/>
          <w:rFonts w:ascii="仿宋" w:hAnsi="仿宋" w:eastAsia="仿宋"/>
          <w:b w:val="0"/>
          <w:bCs/>
          <w:sz w:val="32"/>
          <w:szCs w:val="32"/>
        </w:rPr>
      </w:pPr>
      <w:r>
        <w:rPr>
          <w:rStyle w:val="15"/>
          <w:rFonts w:hint="eastAsia" w:ascii="仿宋" w:hAnsi="仿宋" w:eastAsia="仿宋"/>
          <w:bCs/>
          <w:sz w:val="32"/>
          <w:szCs w:val="32"/>
        </w:rPr>
        <w:t>2</w:t>
      </w:r>
      <w:r>
        <w:rPr>
          <w:rStyle w:val="15"/>
          <w:rFonts w:ascii="仿宋" w:hAnsi="仿宋" w:eastAsia="仿宋"/>
          <w:bCs/>
          <w:sz w:val="32"/>
          <w:szCs w:val="32"/>
        </w:rPr>
        <w:t>.</w:t>
      </w:r>
      <w:r>
        <w:rPr>
          <w:rStyle w:val="15"/>
          <w:rFonts w:hint="eastAsia" w:ascii="仿宋" w:hAnsi="仿宋" w:eastAsia="仿宋"/>
          <w:bCs/>
          <w:sz w:val="32"/>
          <w:szCs w:val="32"/>
        </w:rPr>
        <w:t>社会保障和就业（类）行政事业单位养老支出（款）  机关事业单位基本养老保险缴费支出（项）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ascii="仿宋" w:hAnsi="仿宋" w:eastAsia="仿宋"/>
          <w:b w:val="0"/>
          <w:bCs/>
          <w:sz w:val="32"/>
          <w:szCs w:val="32"/>
        </w:rPr>
        <w:t>23.77</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，决算数大于预算数的主要原因是2022年新增工作人员3人。</w:t>
      </w:r>
    </w:p>
    <w:p>
      <w:pPr>
        <w:spacing w:line="600" w:lineRule="exact"/>
        <w:ind w:firstLine="643" w:firstLineChars="200"/>
        <w:rPr>
          <w:rFonts w:ascii="仿宋" w:hAnsi="仿宋" w:eastAsia="仿宋"/>
          <w:bCs/>
          <w:sz w:val="32"/>
          <w:szCs w:val="32"/>
        </w:rPr>
      </w:pPr>
      <w:r>
        <w:rPr>
          <w:rFonts w:hint="eastAsia" w:ascii="仿宋" w:hAnsi="仿宋" w:eastAsia="仿宋"/>
          <w:b/>
          <w:bCs/>
          <w:sz w:val="32"/>
          <w:szCs w:val="32"/>
          <w:shd w:val="clear" w:color="auto" w:fill="FFFFFF"/>
        </w:rPr>
        <w:t>3.住房保障支出（类）住房改革支出（款）住房公积金（项）：支出决算为</w:t>
      </w:r>
      <w:r>
        <w:rPr>
          <w:rFonts w:ascii="仿宋" w:hAnsi="仿宋" w:eastAsia="仿宋"/>
          <w:b/>
          <w:bCs/>
          <w:sz w:val="32"/>
          <w:szCs w:val="32"/>
          <w:shd w:val="clear" w:color="auto" w:fill="FFFFFF"/>
        </w:rPr>
        <w:t>27.97</w:t>
      </w:r>
      <w:r>
        <w:rPr>
          <w:rFonts w:hint="eastAsia" w:ascii="仿宋" w:hAnsi="仿宋" w:eastAsia="仿宋"/>
          <w:b/>
          <w:bCs/>
          <w:sz w:val="32"/>
          <w:szCs w:val="32"/>
          <w:shd w:val="clear" w:color="auto" w:fill="FFFFFF"/>
        </w:rPr>
        <w:t>万元，完成预算100%，</w:t>
      </w:r>
      <w:r>
        <w:rPr>
          <w:rStyle w:val="15"/>
          <w:rFonts w:hint="eastAsia" w:ascii="仿宋" w:hAnsi="仿宋" w:eastAsia="仿宋"/>
          <w:b w:val="0"/>
          <w:bCs/>
          <w:sz w:val="32"/>
          <w:szCs w:val="32"/>
        </w:rPr>
        <w:t>决算数大于预算数的主要原因是2022年新增工作人员3人。</w:t>
      </w:r>
    </w:p>
    <w:p>
      <w:pPr>
        <w:tabs>
          <w:tab w:val="right" w:pos="8306"/>
        </w:tabs>
        <w:spacing w:line="600" w:lineRule="exact"/>
        <w:ind w:firstLine="640"/>
        <w:outlineLvl w:val="1"/>
        <w:rPr>
          <w:rStyle w:val="26"/>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4"/>
      <w:bookmarkEnd w:id="35"/>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22年一般公共预算财政拨款基本支出451.29万元，其中：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sz w:val="32"/>
          <w:szCs w:val="32"/>
        </w:rPr>
        <w:t>312.13</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139.17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36" w:name="_Toc15377215"/>
      <w:bookmarkStart w:id="37" w:name="_Toc15396609"/>
      <w:r>
        <w:rPr>
          <w:rFonts w:hint="eastAsia" w:ascii="黑体" w:eastAsia="黑体"/>
          <w:sz w:val="32"/>
          <w:szCs w:val="32"/>
        </w:rPr>
        <w:t>七、</w:t>
      </w:r>
      <w:r>
        <w:rPr>
          <w:rStyle w:val="26"/>
          <w:rFonts w:hint="eastAsia" w:ascii="黑体" w:hAnsi="黑体" w:eastAsia="黑体"/>
          <w:b w:val="0"/>
        </w:rPr>
        <w:t>财政拨款</w:t>
      </w:r>
      <w:r>
        <w:rPr>
          <w:rStyle w:val="26"/>
          <w:rFonts w:hint="eastAsia" w:ascii="黑体" w:hAnsi="黑体" w:eastAsia="黑体"/>
        </w:rPr>
        <w:t>“</w:t>
      </w:r>
      <w:r>
        <w:rPr>
          <w:rStyle w:val="26"/>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w:t>
      </w:r>
      <w:r>
        <w:rPr>
          <w:rFonts w:ascii="仿宋" w:hAnsi="仿宋" w:eastAsia="仿宋"/>
          <w:sz w:val="32"/>
          <w:szCs w:val="32"/>
        </w:rPr>
        <w:t>1.08</w:t>
      </w:r>
      <w:r>
        <w:rPr>
          <w:rFonts w:hint="eastAsia" w:ascii="仿宋" w:hAnsi="仿宋" w:eastAsia="仿宋"/>
          <w:sz w:val="32"/>
          <w:szCs w:val="32"/>
        </w:rPr>
        <w:t>万元，完成预算100</w:t>
      </w:r>
      <w:r>
        <w:rPr>
          <w:rFonts w:ascii="仿宋" w:hAnsi="仿宋" w:eastAsia="仿宋"/>
          <w:sz w:val="32"/>
          <w:szCs w:val="32"/>
        </w:rPr>
        <w:t>%</w:t>
      </w:r>
      <w:r>
        <w:rPr>
          <w:rFonts w:hint="eastAsia" w:ascii="仿宋" w:hAnsi="仿宋" w:eastAsia="仿宋"/>
          <w:sz w:val="32"/>
          <w:szCs w:val="32"/>
        </w:rPr>
        <w:t>，较上年增加0.35万元，增长24.47%。决算数与预算数持平，</w:t>
      </w:r>
      <w:r>
        <w:rPr>
          <w:rFonts w:hint="eastAsia" w:ascii="仿宋_GB2312" w:hAnsi="仿宋" w:eastAsia="仿宋_GB2312" w:cs="仿宋"/>
          <w:sz w:val="32"/>
          <w:szCs w:val="32"/>
        </w:rPr>
        <w:t>增加原因2022年新增矿产资源交易，矿产资源数量较大，地点分散，均位于偏远地区，增加现场勘察次数，增加油费</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；公务用车购置及运行维护费支出决算1.08万元，占100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pStyle w:val="2"/>
        <w:spacing w:before="93"/>
      </w:pPr>
      <w:r>
        <w:drawing>
          <wp:inline distT="0" distB="0" distL="0" distR="0">
            <wp:extent cx="5274310" cy="3076575"/>
            <wp:effectExtent l="0" t="0" r="21590" b="952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21年增加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_GB2312" w:eastAsia="仿宋_GB2312"/>
          <w:sz w:val="32"/>
          <w:szCs w:val="32"/>
        </w:rPr>
        <w:t>1.08</w:t>
      </w:r>
      <w:r>
        <w:rPr>
          <w:rFonts w:hint="eastAsia" w:ascii="仿宋_GB2312" w:eastAsia="仿宋_GB2312"/>
          <w:sz w:val="32"/>
          <w:szCs w:val="32"/>
        </w:rPr>
        <w:t>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21年增加0.35万元，增长</w:t>
      </w:r>
      <w:r>
        <w:rPr>
          <w:rFonts w:hint="eastAsia" w:ascii="仿宋" w:hAnsi="仿宋" w:eastAsia="仿宋"/>
          <w:sz w:val="32"/>
          <w:szCs w:val="32"/>
        </w:rPr>
        <w:t>24.47</w:t>
      </w:r>
      <w:r>
        <w:rPr>
          <w:rFonts w:ascii="仿宋_GB2312" w:eastAsia="仿宋_GB2312"/>
          <w:sz w:val="32"/>
          <w:szCs w:val="32"/>
        </w:rPr>
        <w:t>%</w:t>
      </w:r>
      <w:r>
        <w:rPr>
          <w:rFonts w:hint="eastAsia" w:ascii="仿宋_GB2312" w:eastAsia="仿宋_GB2312"/>
          <w:sz w:val="32"/>
          <w:szCs w:val="32"/>
        </w:rPr>
        <w:t>。主要原因是</w:t>
      </w:r>
      <w:r>
        <w:rPr>
          <w:rFonts w:hint="eastAsia" w:ascii="仿宋_GB2312" w:hAnsi="仿宋" w:eastAsia="仿宋_GB2312" w:cs="仿宋"/>
          <w:sz w:val="32"/>
          <w:szCs w:val="32"/>
        </w:rPr>
        <w:t>2022年新增矿产资源交易，矿产资源数量较大，地点分散，均位于偏远地区，增加现场勘察次数，增加油费</w:t>
      </w:r>
      <w:r>
        <w:rPr>
          <w:rFonts w:hint="eastAsia" w:ascii="仿宋" w:hAnsi="仿宋" w:eastAsia="仿宋"/>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月底，单位共有公务用车1辆，其中：轿车1辆。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1.08万元。主要用于国有土地现场勘查等所需的公务用车燃料费、维修费、过路过桥费、保险费等支出。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bookmarkStart w:id="40" w:name="_Toc15377218"/>
      <w:bookmarkStart w:id="41" w:name="_Toc15396610"/>
      <w:r>
        <w:rPr>
          <w:rFonts w:hint="eastAsia" w:ascii="仿宋_GB2312" w:eastAsia="仿宋_GB2312"/>
          <w:sz w:val="32"/>
          <w:szCs w:val="32"/>
        </w:rPr>
        <w:t>。</w:t>
      </w:r>
    </w:p>
    <w:p>
      <w:pPr>
        <w:spacing w:line="600" w:lineRule="exact"/>
        <w:ind w:firstLine="640"/>
        <w:outlineLvl w:val="1"/>
        <w:rPr>
          <w:rStyle w:val="26"/>
          <w:rFonts w:ascii="黑体" w:hAnsi="黑体" w:eastAsia="黑体"/>
        </w:rPr>
      </w:pPr>
      <w:r>
        <w:rPr>
          <w:rFonts w:hint="eastAsia" w:ascii="黑体" w:eastAsia="黑体"/>
          <w:sz w:val="32"/>
          <w:szCs w:val="32"/>
        </w:rPr>
        <w:t>八、</w:t>
      </w:r>
      <w:r>
        <w:rPr>
          <w:rStyle w:val="26"/>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numPr>
          <w:ilvl w:val="0"/>
          <w:numId w:val="3"/>
        </w:numPr>
        <w:spacing w:line="600" w:lineRule="exact"/>
        <w:ind w:firstLine="640"/>
        <w:outlineLvl w:val="1"/>
        <w:rPr>
          <w:rStyle w:val="26"/>
          <w:rFonts w:ascii="黑体" w:hAnsi="黑体" w:eastAsia="黑体"/>
          <w:b w:val="0"/>
        </w:rPr>
      </w:pPr>
      <w:bookmarkStart w:id="42" w:name="_Toc15396611"/>
      <w:bookmarkStart w:id="43" w:name="_Toc15377219"/>
      <w:r>
        <w:rPr>
          <w:rStyle w:val="26"/>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numPr>
          <w:ilvl w:val="0"/>
          <w:numId w:val="3"/>
        </w:numPr>
        <w:spacing w:line="600" w:lineRule="exact"/>
        <w:ind w:firstLine="640"/>
        <w:outlineLvl w:val="1"/>
        <w:rPr>
          <w:rStyle w:val="26"/>
          <w:rFonts w:ascii="黑体" w:hAnsi="黑体" w:eastAsia="黑体"/>
          <w:b w:val="0"/>
        </w:rPr>
      </w:pPr>
      <w:bookmarkStart w:id="44" w:name="_Toc15377221"/>
      <w:bookmarkStart w:id="45" w:name="_Toc15396612"/>
      <w:r>
        <w:rPr>
          <w:rStyle w:val="26"/>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b/>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2022年，事业单位未有机关运行费支出。</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日，共有车辆1辆，其中：其他用车1辆，其他用车主要是用于国有土地现场勘查，单价50万元以上通用设备0（套），单价100万元以上专用设备0台（套）。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2"/>
        <w:spacing w:before="93"/>
        <w:ind w:firstLine="640" w:firstLineChars="200"/>
        <w:rPr>
          <w:highlight w:val="yellow"/>
        </w:rPr>
      </w:pPr>
      <w:r>
        <w:rPr>
          <w:rFonts w:hint="eastAsia" w:hAnsi="仿宋_GB2312" w:cs="仿宋_GB2312"/>
          <w:sz w:val="32"/>
          <w:szCs w:val="32"/>
        </w:rPr>
        <w:t>根据预算绩效管理要求，本单位在2022年度组织对3项目对3个项目编制了绩效目标，预算执行过程中，选取3个项目开展绩效监控，组织对3个项目开展绩效自评，绩效自评表详见第四部分附件。</w:t>
      </w:r>
    </w:p>
    <w:p>
      <w:pPr>
        <w:pStyle w:val="2"/>
        <w:spacing w:before="93"/>
        <w:ind w:firstLine="640" w:firstLineChars="200"/>
        <w:rPr>
          <w:rFonts w:hAnsi="仿宋_GB2312" w:cs="仿宋_GB2312"/>
          <w:sz w:val="32"/>
          <w:szCs w:val="32"/>
        </w:rPr>
      </w:pPr>
      <w:r>
        <w:rPr>
          <w:rFonts w:hAnsi="仿宋_GB2312" w:cs="仿宋_GB2312"/>
          <w:sz w:val="32"/>
          <w:szCs w:val="32"/>
        </w:rPr>
        <w:br w:type="page"/>
      </w:r>
    </w:p>
    <w:p>
      <w:pPr>
        <w:pStyle w:val="2"/>
        <w:spacing w:before="93"/>
        <w:ind w:firstLine="600" w:firstLineChars="200"/>
        <w:rPr>
          <w:highlight w:val="yellow"/>
        </w:rPr>
      </w:pPr>
    </w:p>
    <w:p>
      <w:pPr>
        <w:numPr>
          <w:ilvl w:val="0"/>
          <w:numId w:val="4"/>
        </w:numPr>
        <w:spacing w:line="600" w:lineRule="exact"/>
        <w:ind w:firstLine="660" w:firstLineChars="150"/>
        <w:jc w:val="center"/>
        <w:outlineLvl w:val="0"/>
        <w:rPr>
          <w:rStyle w:val="25"/>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5"/>
          <w:rFonts w:hint="eastAsia" w:ascii="黑体" w:hAnsi="黑体" w:eastAsia="黑体"/>
          <w:b w:val="0"/>
        </w:rPr>
        <w:t>词解释</w:t>
      </w:r>
      <w:bookmarkEnd w:id="49"/>
      <w:bookmarkEnd w:id="50"/>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lang w:val="en"/>
        </w:rPr>
      </w:pPr>
      <w:r>
        <w:rPr>
          <w:rFonts w:hint="eastAsia" w:ascii="仿宋_GB2312" w:eastAsia="仿宋_GB2312"/>
          <w:color w:val="auto"/>
          <w:sz w:val="32"/>
          <w:szCs w:val="32"/>
          <w:lang w:val="en"/>
        </w:rPr>
        <w:t>1.财政拨款收入：指单位从同级财政部门取得的财政预算资金。</w:t>
      </w:r>
    </w:p>
    <w:p>
      <w:pPr>
        <w:pStyle w:val="23"/>
        <w:spacing w:line="560" w:lineRule="exact"/>
        <w:ind w:firstLine="640" w:firstLineChars="200"/>
        <w:rPr>
          <w:rFonts w:ascii="仿宋_GB2312" w:eastAsia="仿宋_GB2312"/>
          <w:color w:val="auto"/>
          <w:sz w:val="32"/>
          <w:szCs w:val="32"/>
          <w:lang w:val="en"/>
        </w:rPr>
      </w:pPr>
      <w:r>
        <w:rPr>
          <w:rFonts w:hint="eastAsia" w:ascii="仿宋_GB2312" w:eastAsia="仿宋_GB2312"/>
          <w:color w:val="auto"/>
          <w:sz w:val="32"/>
          <w:szCs w:val="32"/>
          <w:lang w:val="en"/>
        </w:rPr>
        <w:t>2.一般公共服务（类）03（款）50（项）：指事业单位的基本支出，不包括行政单位（包括实行公务员管理的事业单位）后勤服务中心、医务室等附属事业单位。</w:t>
      </w:r>
    </w:p>
    <w:p>
      <w:pPr>
        <w:pStyle w:val="23"/>
        <w:spacing w:line="560" w:lineRule="exact"/>
        <w:ind w:firstLine="640" w:firstLineChars="200"/>
        <w:rPr>
          <w:rFonts w:ascii="仿宋_GB2312" w:eastAsia="仿宋_GB2312"/>
          <w:color w:val="auto"/>
          <w:sz w:val="32"/>
          <w:szCs w:val="32"/>
          <w:lang w:val="en"/>
        </w:rPr>
      </w:pPr>
      <w:r>
        <w:rPr>
          <w:rFonts w:hint="eastAsia" w:ascii="仿宋_GB2312" w:eastAsia="仿宋_GB2312"/>
          <w:color w:val="auto"/>
          <w:sz w:val="32"/>
          <w:szCs w:val="32"/>
          <w:lang w:val="en"/>
        </w:rPr>
        <w:t>3.社会保障和就业（类）05（款）01（项）：指实行归口管理的行政单位（包括实行公务员管理的事业单位）开支的离退休经费。</w:t>
      </w:r>
    </w:p>
    <w:p>
      <w:pPr>
        <w:pStyle w:val="23"/>
        <w:spacing w:line="560" w:lineRule="exact"/>
        <w:ind w:firstLine="640" w:firstLineChars="200"/>
        <w:rPr>
          <w:rFonts w:ascii="仿宋_GB2312" w:eastAsia="仿宋_GB2312"/>
          <w:color w:val="auto"/>
          <w:sz w:val="32"/>
          <w:szCs w:val="32"/>
          <w:lang w:val="en"/>
        </w:rPr>
      </w:pPr>
      <w:r>
        <w:rPr>
          <w:rFonts w:hint="eastAsia" w:ascii="仿宋_GB2312" w:eastAsia="仿宋_GB2312"/>
          <w:color w:val="auto"/>
          <w:sz w:val="32"/>
          <w:szCs w:val="32"/>
          <w:lang w:val="en"/>
        </w:rPr>
        <w:t>4.社会保障和就业（类）05（款）05（项）：指机关事业单位实施养老保险制度由单位缴纳的基本养老保险费支出。</w:t>
      </w:r>
    </w:p>
    <w:p>
      <w:pPr>
        <w:pStyle w:val="23"/>
        <w:spacing w:line="560" w:lineRule="exact"/>
        <w:ind w:firstLine="640" w:firstLineChars="200"/>
        <w:rPr>
          <w:rFonts w:ascii="仿宋_GB2312" w:eastAsia="仿宋_GB2312"/>
          <w:color w:val="auto"/>
          <w:sz w:val="32"/>
          <w:szCs w:val="32"/>
          <w:lang w:val="en"/>
        </w:rPr>
      </w:pPr>
      <w:r>
        <w:rPr>
          <w:rFonts w:hint="eastAsia" w:ascii="仿宋_GB2312" w:eastAsia="仿宋_GB2312"/>
          <w:color w:val="auto"/>
          <w:sz w:val="32"/>
          <w:szCs w:val="32"/>
          <w:lang w:val="en"/>
        </w:rPr>
        <w:t>5.城乡社区（类）08（款）02（项）：指土地开发支出。</w:t>
      </w:r>
    </w:p>
    <w:p>
      <w:pPr>
        <w:pStyle w:val="23"/>
        <w:spacing w:line="560" w:lineRule="exact"/>
        <w:ind w:firstLine="640" w:firstLineChars="200"/>
        <w:rPr>
          <w:rFonts w:ascii="仿宋_GB2312" w:eastAsia="仿宋_GB2312"/>
          <w:color w:val="auto"/>
          <w:sz w:val="32"/>
          <w:szCs w:val="32"/>
          <w:lang w:val="en"/>
        </w:rPr>
      </w:pPr>
      <w:r>
        <w:rPr>
          <w:rFonts w:hint="eastAsia" w:ascii="仿宋_GB2312" w:eastAsia="仿宋_GB2312"/>
          <w:color w:val="auto"/>
          <w:sz w:val="32"/>
          <w:szCs w:val="32"/>
          <w:lang w:val="en"/>
        </w:rPr>
        <w:t>6.住房保障（类）02（款）01（项）：指住房公积金支出。</w:t>
      </w:r>
    </w:p>
    <w:p>
      <w:pPr>
        <w:pStyle w:val="23"/>
        <w:spacing w:line="560" w:lineRule="exact"/>
        <w:ind w:firstLine="640" w:firstLineChars="200"/>
        <w:rPr>
          <w:rFonts w:ascii="仿宋_GB2312" w:eastAsia="仿宋_GB2312"/>
          <w:color w:val="auto"/>
          <w:sz w:val="32"/>
          <w:szCs w:val="32"/>
          <w:lang w:val="en"/>
        </w:rPr>
      </w:pPr>
      <w:r>
        <w:rPr>
          <w:rFonts w:hint="eastAsia" w:ascii="仿宋_GB2312" w:eastAsia="仿宋_GB2312"/>
          <w:color w:val="auto"/>
          <w:sz w:val="32"/>
          <w:szCs w:val="32"/>
          <w:lang w:val="en"/>
        </w:rPr>
        <w:t>7.基本支出：指为保障机构正常运转、完成日常工作任务而发生的人员支出和公用支出。</w:t>
      </w:r>
    </w:p>
    <w:p>
      <w:pPr>
        <w:pStyle w:val="23"/>
        <w:spacing w:line="560" w:lineRule="exact"/>
        <w:ind w:firstLine="640" w:firstLineChars="200"/>
        <w:rPr>
          <w:rFonts w:ascii="仿宋_GB2312" w:eastAsia="仿宋_GB2312"/>
          <w:color w:val="auto"/>
          <w:sz w:val="32"/>
          <w:szCs w:val="32"/>
          <w:lang w:val="en"/>
        </w:rPr>
      </w:pPr>
      <w:r>
        <w:rPr>
          <w:rFonts w:hint="eastAsia" w:ascii="仿宋_GB2312" w:eastAsia="仿宋_GB2312"/>
          <w:color w:val="auto"/>
          <w:sz w:val="32"/>
          <w:szCs w:val="32"/>
          <w:lang w:val="en"/>
        </w:rPr>
        <w:t>8.项目支出：指在基本支出之外为完成特定行政任务和事业发展目标所发生的支出。</w:t>
      </w:r>
    </w:p>
    <w:p>
      <w:pPr>
        <w:pStyle w:val="23"/>
        <w:spacing w:line="560" w:lineRule="exact"/>
        <w:ind w:firstLine="640" w:firstLineChars="200"/>
        <w:rPr>
          <w:rFonts w:ascii="仿宋_GB2312" w:eastAsia="仿宋_GB2312"/>
          <w:color w:val="auto"/>
          <w:sz w:val="32"/>
          <w:szCs w:val="32"/>
          <w:lang w:val="en"/>
        </w:rPr>
      </w:pPr>
      <w:r>
        <w:rPr>
          <w:rFonts w:hint="eastAsia" w:ascii="仿宋_GB2312" w:eastAsia="仿宋_GB2312"/>
          <w:color w:val="auto"/>
          <w:sz w:val="32"/>
          <w:szCs w:val="32"/>
          <w:lang w:val="en"/>
        </w:rPr>
        <w:t>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Fonts w:ascii="黑体" w:hAnsi="黑体" w:eastAsia="黑体"/>
          <w:sz w:val="44"/>
          <w:szCs w:val="44"/>
        </w:rPr>
      </w:pPr>
      <w:bookmarkStart w:id="51" w:name="_Toc15396614"/>
      <w:bookmarkStart w:id="52" w:name="_Toc15377226"/>
      <w:r>
        <w:rPr>
          <w:rFonts w:ascii="黑体" w:hAnsi="黑体" w:eastAsia="黑体"/>
          <w:sz w:val="44"/>
          <w:szCs w:val="44"/>
        </w:rPr>
        <w:br w:type="page"/>
      </w:r>
    </w:p>
    <w:p>
      <w:pPr>
        <w:spacing w:line="600" w:lineRule="exact"/>
        <w:jc w:val="center"/>
        <w:outlineLvl w:val="0"/>
        <w:rPr>
          <w:rStyle w:val="25"/>
          <w:rFonts w:ascii="黑体" w:hAnsi="黑体" w:eastAsia="黑体"/>
          <w:b w:val="0"/>
        </w:rPr>
      </w:pPr>
      <w:r>
        <w:rPr>
          <w:rFonts w:hint="eastAsia" w:ascii="黑体" w:hAnsi="黑体" w:eastAsia="黑体"/>
          <w:sz w:val="44"/>
          <w:szCs w:val="44"/>
        </w:rPr>
        <w:t>第</w:t>
      </w:r>
      <w:r>
        <w:rPr>
          <w:rStyle w:val="25"/>
          <w:rFonts w:hint="eastAsia" w:ascii="黑体" w:hAnsi="黑体" w:eastAsia="黑体"/>
          <w:b w:val="0"/>
        </w:rPr>
        <w:t>四部分 附件</w:t>
      </w:r>
      <w:bookmarkEnd w:id="51"/>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宋体" w:hAnsi="宋体" w:cs="宋体"/>
          <w:kern w:val="0"/>
          <w:sz w:val="32"/>
          <w:szCs w:val="32"/>
        </w:rPr>
      </w:pPr>
      <w:bookmarkStart w:id="53" w:name="_Toc15396618"/>
      <w:r>
        <w:rPr>
          <w:rFonts w:hint="eastAsia" w:ascii="宋体" w:hAnsi="宋体" w:cs="宋体"/>
          <w:kern w:val="0"/>
          <w:sz w:val="32"/>
          <w:szCs w:val="32"/>
        </w:rPr>
        <w:t>部门预算项目支出绩效自评表（2022年度）见附件1</w:t>
      </w:r>
    </w:p>
    <w:p>
      <w:pPr>
        <w:spacing w:line="600" w:lineRule="exact"/>
        <w:ind w:firstLine="640" w:firstLineChars="200"/>
        <w:jc w:val="left"/>
        <w:outlineLvl w:val="0"/>
        <w:rPr>
          <w:rFonts w:ascii="仿宋_GB2312" w:hAnsi="Calibri" w:eastAsia="仿宋_GB2312" w:cs="仿宋"/>
          <w:kern w:val="0"/>
          <w:sz w:val="32"/>
          <w:szCs w:val="32"/>
        </w:rPr>
      </w:pPr>
    </w:p>
    <w:p>
      <w:pPr>
        <w:pStyle w:val="2"/>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bookmarkEnd w:id="52"/>
      <w:bookmarkEnd w:id="53"/>
      <w:bookmarkStart w:id="54" w:name="_Toc15396619"/>
    </w:p>
    <w:p>
      <w:pPr>
        <w:pStyle w:val="4"/>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6"/>
          <w:rFonts w:hint="eastAsia" w:ascii="仿宋" w:hAnsi="仿宋" w:eastAsia="仿宋"/>
          <w:b w:val="0"/>
          <w:bCs w:val="0"/>
        </w:rPr>
        <w:t>入决算表</w:t>
      </w:r>
      <w:bookmarkEnd w:id="55"/>
    </w:p>
    <w:p>
      <w:pPr>
        <w:pStyle w:val="4"/>
        <w:rPr>
          <w:rFonts w:ascii="仿宋" w:hAnsi="仿宋" w:eastAsia="仿宋"/>
        </w:rPr>
      </w:pPr>
      <w:bookmarkStart w:id="56"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57"/>
    </w:p>
    <w:p>
      <w:pPr>
        <w:pStyle w:val="4"/>
        <w:rPr>
          <w:rStyle w:val="26"/>
          <w:rFonts w:ascii="仿宋" w:hAnsi="仿宋" w:eastAsia="仿宋"/>
          <w:b w:val="0"/>
          <w:bCs w:val="0"/>
        </w:rPr>
      </w:pPr>
      <w:bookmarkStart w:id="58"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6"/>
          <w:rFonts w:hint="eastAsia" w:ascii="仿宋" w:hAnsi="仿宋" w:eastAsia="仿宋"/>
          <w:b w:val="0"/>
          <w:bCs w:val="0"/>
        </w:rPr>
        <w:t>十、</w:t>
      </w:r>
      <w:bookmarkEnd w:id="63"/>
      <w:r>
        <w:rPr>
          <w:rFonts w:hint="eastAsia" w:ascii="仿宋" w:hAnsi="仿宋" w:eastAsia="仿宋"/>
          <w:b w:val="0"/>
        </w:rPr>
        <w:t>政</w:t>
      </w:r>
      <w:r>
        <w:rPr>
          <w:rStyle w:val="26"/>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6"/>
          <w:rFonts w:hint="eastAsia" w:ascii="仿宋" w:hAnsi="仿宋" w:eastAsia="仿宋"/>
          <w:b w:val="0"/>
          <w:bCs w:val="0"/>
        </w:rPr>
        <w:t>十一、</w:t>
      </w:r>
      <w:bookmarkEnd w:id="64"/>
      <w:r>
        <w:rPr>
          <w:rFonts w:hint="eastAsia" w:ascii="仿宋" w:hAnsi="仿宋" w:eastAsia="仿宋"/>
          <w:b w:val="0"/>
        </w:rPr>
        <w:t>国</w:t>
      </w:r>
      <w:r>
        <w:rPr>
          <w:rStyle w:val="26"/>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6"/>
          <w:rFonts w:hint="eastAsia" w:ascii="仿宋" w:hAnsi="仿宋" w:eastAsia="仿宋"/>
          <w:b w:val="0"/>
          <w:bCs w:val="0"/>
        </w:rPr>
        <w:t>十二、</w:t>
      </w:r>
      <w:bookmarkEnd w:id="65"/>
      <w:r>
        <w:rPr>
          <w:rStyle w:val="26"/>
          <w:rFonts w:hint="eastAsia" w:ascii="仿宋" w:hAnsi="仿宋" w:eastAsia="仿宋"/>
          <w:b w:val="0"/>
          <w:bCs w:val="0"/>
        </w:rPr>
        <w:t>国有资本经营预算财政拨款支出决算表</w:t>
      </w:r>
    </w:p>
    <w:p>
      <w:pPr>
        <w:pStyle w:val="4"/>
        <w:rPr>
          <w:rStyle w:val="26"/>
          <w:rFonts w:ascii="仿宋" w:hAnsi="仿宋" w:eastAsia="仿宋"/>
          <w:b/>
          <w:bCs/>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bookmarkStart w:id="66" w:name="_Toc15396631"/>
      <w:r>
        <w:rPr>
          <w:rStyle w:val="26"/>
          <w:rFonts w:hint="eastAsia" w:ascii="仿宋" w:hAnsi="仿宋" w:eastAsia="仿宋"/>
          <w:b w:val="0"/>
          <w:bCs w:val="0"/>
        </w:rPr>
        <w:t>十三、</w:t>
      </w:r>
      <w:bookmarkEnd w:id="66"/>
      <w:r>
        <w:rPr>
          <w:rStyle w:val="26"/>
          <w:rFonts w:hint="eastAsia" w:ascii="仿宋" w:hAnsi="仿宋" w:eastAsia="仿宋"/>
          <w:b w:val="0"/>
          <w:bCs w:val="0"/>
        </w:rPr>
        <w:t>财政拨款“三公”经费支出决算</w:t>
      </w:r>
    </w:p>
    <w:p>
      <w:pPr>
        <w:pStyle w:val="2"/>
        <w:spacing w:before="72"/>
      </w:pPr>
    </w:p>
    <w:sectPr>
      <w:pgSz w:w="11907" w:h="16840"/>
      <w:pgMar w:top="1440" w:right="1797" w:bottom="1440" w:left="1797" w:header="851"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28301"/>
    </w:sdtPr>
    <w:sdtEndPr>
      <w:rPr>
        <w:rFonts w:asciiTheme="minorEastAsia" w:hAnsiTheme="minorEastAsia" w:eastAsiaTheme="minorEastAsia"/>
        <w:sz w:val="28"/>
        <w:szCs w:val="28"/>
      </w:rPr>
    </w:sdtEndPr>
    <w:sdtContent>
      <w:p>
        <w:pPr>
          <w:pStyle w:val="8"/>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24</w:t>
        </w:r>
        <w:r>
          <w:rPr>
            <w:rFonts w:asciiTheme="minorEastAsia" w:hAnsiTheme="minorEastAsia" w:eastAsiaTheme="minorEastAsia"/>
            <w:sz w:val="28"/>
            <w:szCs w:val="28"/>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6519174"/>
      <w:docPartObj>
        <w:docPartGallery w:val="autotext"/>
      </w:docPartObj>
    </w:sdtPr>
    <w:sdtContent>
      <w:p>
        <w:pPr>
          <w:pStyle w:val="8"/>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25</w:t>
        </w:r>
        <w:r>
          <w:rPr>
            <w:rFonts w:ascii="宋体" w:hAnsi="宋体"/>
            <w:sz w:val="28"/>
            <w:szCs w:val="28"/>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4D2F"/>
    <w:rsid w:val="000222C6"/>
    <w:rsid w:val="0002549F"/>
    <w:rsid w:val="000468DB"/>
    <w:rsid w:val="000579E0"/>
    <w:rsid w:val="0006487A"/>
    <w:rsid w:val="00065F8F"/>
    <w:rsid w:val="00070A43"/>
    <w:rsid w:val="000768F2"/>
    <w:rsid w:val="0009184B"/>
    <w:rsid w:val="00094236"/>
    <w:rsid w:val="0009593C"/>
    <w:rsid w:val="00095E43"/>
    <w:rsid w:val="00096DCF"/>
    <w:rsid w:val="00097322"/>
    <w:rsid w:val="000A6A92"/>
    <w:rsid w:val="000B047F"/>
    <w:rsid w:val="000B5923"/>
    <w:rsid w:val="000B5A48"/>
    <w:rsid w:val="000B6FF3"/>
    <w:rsid w:val="000C3467"/>
    <w:rsid w:val="000C3CA6"/>
    <w:rsid w:val="000D1267"/>
    <w:rsid w:val="000D1D50"/>
    <w:rsid w:val="000D5782"/>
    <w:rsid w:val="000E6613"/>
    <w:rsid w:val="000E7119"/>
    <w:rsid w:val="000F3D30"/>
    <w:rsid w:val="000F5FB2"/>
    <w:rsid w:val="00114E9B"/>
    <w:rsid w:val="001229EB"/>
    <w:rsid w:val="00123991"/>
    <w:rsid w:val="001369A4"/>
    <w:rsid w:val="00142216"/>
    <w:rsid w:val="00144D6A"/>
    <w:rsid w:val="0014729F"/>
    <w:rsid w:val="00157BAB"/>
    <w:rsid w:val="001654D1"/>
    <w:rsid w:val="00166E95"/>
    <w:rsid w:val="00174518"/>
    <w:rsid w:val="001751C1"/>
    <w:rsid w:val="0018106D"/>
    <w:rsid w:val="001877A7"/>
    <w:rsid w:val="00191536"/>
    <w:rsid w:val="001946D5"/>
    <w:rsid w:val="00196687"/>
    <w:rsid w:val="001B0062"/>
    <w:rsid w:val="001C04DF"/>
    <w:rsid w:val="001C0962"/>
    <w:rsid w:val="001D7531"/>
    <w:rsid w:val="001E5AD5"/>
    <w:rsid w:val="001E737D"/>
    <w:rsid w:val="001F0592"/>
    <w:rsid w:val="001F7506"/>
    <w:rsid w:val="002006CD"/>
    <w:rsid w:val="00202B36"/>
    <w:rsid w:val="00204B7A"/>
    <w:rsid w:val="00204CDE"/>
    <w:rsid w:val="0021101A"/>
    <w:rsid w:val="00220536"/>
    <w:rsid w:val="002257A5"/>
    <w:rsid w:val="00235629"/>
    <w:rsid w:val="00250ED2"/>
    <w:rsid w:val="00260950"/>
    <w:rsid w:val="00260C38"/>
    <w:rsid w:val="00260C9E"/>
    <w:rsid w:val="002616C0"/>
    <w:rsid w:val="00265372"/>
    <w:rsid w:val="002662AA"/>
    <w:rsid w:val="00280496"/>
    <w:rsid w:val="00283961"/>
    <w:rsid w:val="00294DC9"/>
    <w:rsid w:val="00295223"/>
    <w:rsid w:val="00295495"/>
    <w:rsid w:val="002A31DE"/>
    <w:rsid w:val="002B2613"/>
    <w:rsid w:val="002B6149"/>
    <w:rsid w:val="002D0A6F"/>
    <w:rsid w:val="002D6D05"/>
    <w:rsid w:val="002F1818"/>
    <w:rsid w:val="002F567B"/>
    <w:rsid w:val="00310DB6"/>
    <w:rsid w:val="003216A9"/>
    <w:rsid w:val="00335A74"/>
    <w:rsid w:val="00354F94"/>
    <w:rsid w:val="00356A68"/>
    <w:rsid w:val="0036561B"/>
    <w:rsid w:val="0037013F"/>
    <w:rsid w:val="00380C92"/>
    <w:rsid w:val="0038193A"/>
    <w:rsid w:val="003A484F"/>
    <w:rsid w:val="003A4883"/>
    <w:rsid w:val="003B0BE0"/>
    <w:rsid w:val="003B0C1B"/>
    <w:rsid w:val="003B688C"/>
    <w:rsid w:val="003C019E"/>
    <w:rsid w:val="003C0291"/>
    <w:rsid w:val="003C39AE"/>
    <w:rsid w:val="003C7B60"/>
    <w:rsid w:val="003D0C0F"/>
    <w:rsid w:val="003D1FB2"/>
    <w:rsid w:val="003D66DA"/>
    <w:rsid w:val="003E1310"/>
    <w:rsid w:val="003E2DEA"/>
    <w:rsid w:val="003E6F55"/>
    <w:rsid w:val="00400B7A"/>
    <w:rsid w:val="00406254"/>
    <w:rsid w:val="00411D17"/>
    <w:rsid w:val="004223DE"/>
    <w:rsid w:val="00434489"/>
    <w:rsid w:val="00437085"/>
    <w:rsid w:val="0044384A"/>
    <w:rsid w:val="00443880"/>
    <w:rsid w:val="004464F4"/>
    <w:rsid w:val="00464B39"/>
    <w:rsid w:val="00471401"/>
    <w:rsid w:val="00473F31"/>
    <w:rsid w:val="0048263A"/>
    <w:rsid w:val="00485945"/>
    <w:rsid w:val="00487E5D"/>
    <w:rsid w:val="004A6CA6"/>
    <w:rsid w:val="004A711F"/>
    <w:rsid w:val="004B199D"/>
    <w:rsid w:val="004B2B13"/>
    <w:rsid w:val="004B4690"/>
    <w:rsid w:val="004C00BB"/>
    <w:rsid w:val="004D4628"/>
    <w:rsid w:val="004E0A2D"/>
    <w:rsid w:val="004E206B"/>
    <w:rsid w:val="004E6DF7"/>
    <w:rsid w:val="004F0FBD"/>
    <w:rsid w:val="005034FA"/>
    <w:rsid w:val="00505A47"/>
    <w:rsid w:val="00512FDA"/>
    <w:rsid w:val="00520DA0"/>
    <w:rsid w:val="00527ED6"/>
    <w:rsid w:val="00535F4C"/>
    <w:rsid w:val="005446AA"/>
    <w:rsid w:val="00550C09"/>
    <w:rsid w:val="005664BB"/>
    <w:rsid w:val="00566FFA"/>
    <w:rsid w:val="00570E93"/>
    <w:rsid w:val="0057481D"/>
    <w:rsid w:val="0058486E"/>
    <w:rsid w:val="00585B33"/>
    <w:rsid w:val="0059014D"/>
    <w:rsid w:val="005A049A"/>
    <w:rsid w:val="005B5C64"/>
    <w:rsid w:val="005C1650"/>
    <w:rsid w:val="005C5337"/>
    <w:rsid w:val="005C65B3"/>
    <w:rsid w:val="005C6BD0"/>
    <w:rsid w:val="005D1400"/>
    <w:rsid w:val="005D1C8B"/>
    <w:rsid w:val="005D468D"/>
    <w:rsid w:val="005D5CED"/>
    <w:rsid w:val="005E05B1"/>
    <w:rsid w:val="005E6B50"/>
    <w:rsid w:val="005F1A4C"/>
    <w:rsid w:val="005F265B"/>
    <w:rsid w:val="00605688"/>
    <w:rsid w:val="006070AF"/>
    <w:rsid w:val="00607E6C"/>
    <w:rsid w:val="006101B1"/>
    <w:rsid w:val="00611291"/>
    <w:rsid w:val="00614E44"/>
    <w:rsid w:val="00621024"/>
    <w:rsid w:val="0062270A"/>
    <w:rsid w:val="00622830"/>
    <w:rsid w:val="00623DA0"/>
    <w:rsid w:val="00630AEF"/>
    <w:rsid w:val="00630CB9"/>
    <w:rsid w:val="006325F8"/>
    <w:rsid w:val="00632807"/>
    <w:rsid w:val="00633463"/>
    <w:rsid w:val="00634C9A"/>
    <w:rsid w:val="00636A2C"/>
    <w:rsid w:val="006440E4"/>
    <w:rsid w:val="006519B1"/>
    <w:rsid w:val="00652DC1"/>
    <w:rsid w:val="00656A79"/>
    <w:rsid w:val="0066343B"/>
    <w:rsid w:val="00664777"/>
    <w:rsid w:val="006748A4"/>
    <w:rsid w:val="00681A31"/>
    <w:rsid w:val="00681EB9"/>
    <w:rsid w:val="00683E73"/>
    <w:rsid w:val="00687340"/>
    <w:rsid w:val="00697407"/>
    <w:rsid w:val="006A3141"/>
    <w:rsid w:val="006A5E34"/>
    <w:rsid w:val="006B2422"/>
    <w:rsid w:val="006B2B9A"/>
    <w:rsid w:val="006B43EF"/>
    <w:rsid w:val="006C1937"/>
    <w:rsid w:val="006F020C"/>
    <w:rsid w:val="007127B7"/>
    <w:rsid w:val="00713706"/>
    <w:rsid w:val="00716133"/>
    <w:rsid w:val="007171FD"/>
    <w:rsid w:val="0071798E"/>
    <w:rsid w:val="007207FF"/>
    <w:rsid w:val="0073634B"/>
    <w:rsid w:val="007416B6"/>
    <w:rsid w:val="00746F48"/>
    <w:rsid w:val="0075404D"/>
    <w:rsid w:val="0076182A"/>
    <w:rsid w:val="00767B7E"/>
    <w:rsid w:val="007770C3"/>
    <w:rsid w:val="00784D24"/>
    <w:rsid w:val="00785FBA"/>
    <w:rsid w:val="00786E4A"/>
    <w:rsid w:val="007875EB"/>
    <w:rsid w:val="00787AF2"/>
    <w:rsid w:val="0079426B"/>
    <w:rsid w:val="007D1682"/>
    <w:rsid w:val="007D312A"/>
    <w:rsid w:val="007D3F19"/>
    <w:rsid w:val="007E23B0"/>
    <w:rsid w:val="007E23E5"/>
    <w:rsid w:val="007F1991"/>
    <w:rsid w:val="007F2C2F"/>
    <w:rsid w:val="007F55FC"/>
    <w:rsid w:val="007F5665"/>
    <w:rsid w:val="00800112"/>
    <w:rsid w:val="00813348"/>
    <w:rsid w:val="00821C6A"/>
    <w:rsid w:val="008253BB"/>
    <w:rsid w:val="0083706E"/>
    <w:rsid w:val="008408F6"/>
    <w:rsid w:val="008423A5"/>
    <w:rsid w:val="008460DF"/>
    <w:rsid w:val="00850625"/>
    <w:rsid w:val="00853718"/>
    <w:rsid w:val="00853E08"/>
    <w:rsid w:val="00855221"/>
    <w:rsid w:val="00860645"/>
    <w:rsid w:val="00871F71"/>
    <w:rsid w:val="00872FD8"/>
    <w:rsid w:val="00874A89"/>
    <w:rsid w:val="00885AF4"/>
    <w:rsid w:val="008939CD"/>
    <w:rsid w:val="008B768C"/>
    <w:rsid w:val="008C4DB1"/>
    <w:rsid w:val="008C4EAF"/>
    <w:rsid w:val="008C5176"/>
    <w:rsid w:val="008C7FD0"/>
    <w:rsid w:val="008E0785"/>
    <w:rsid w:val="008E1DE7"/>
    <w:rsid w:val="008E707C"/>
    <w:rsid w:val="00900B08"/>
    <w:rsid w:val="00901ECC"/>
    <w:rsid w:val="00902155"/>
    <w:rsid w:val="00902FA3"/>
    <w:rsid w:val="0090407C"/>
    <w:rsid w:val="00910487"/>
    <w:rsid w:val="00923564"/>
    <w:rsid w:val="0092392E"/>
    <w:rsid w:val="009315F9"/>
    <w:rsid w:val="00931D71"/>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95BD4"/>
    <w:rsid w:val="009B2C43"/>
    <w:rsid w:val="009B4EAE"/>
    <w:rsid w:val="009B7573"/>
    <w:rsid w:val="009C22F4"/>
    <w:rsid w:val="009C2A4B"/>
    <w:rsid w:val="009C2E98"/>
    <w:rsid w:val="009C7759"/>
    <w:rsid w:val="009D3447"/>
    <w:rsid w:val="009D4711"/>
    <w:rsid w:val="009F1185"/>
    <w:rsid w:val="009F18CD"/>
    <w:rsid w:val="009F2A13"/>
    <w:rsid w:val="009F7527"/>
    <w:rsid w:val="00A033A1"/>
    <w:rsid w:val="00A04EB0"/>
    <w:rsid w:val="00A13CC1"/>
    <w:rsid w:val="00A16847"/>
    <w:rsid w:val="00A237D8"/>
    <w:rsid w:val="00A268C4"/>
    <w:rsid w:val="00A307CD"/>
    <w:rsid w:val="00A31584"/>
    <w:rsid w:val="00A331C8"/>
    <w:rsid w:val="00A333DE"/>
    <w:rsid w:val="00A35860"/>
    <w:rsid w:val="00A40A00"/>
    <w:rsid w:val="00A4142F"/>
    <w:rsid w:val="00A422EB"/>
    <w:rsid w:val="00A45BB7"/>
    <w:rsid w:val="00A564AD"/>
    <w:rsid w:val="00A56DF2"/>
    <w:rsid w:val="00A56E6E"/>
    <w:rsid w:val="00A67AB5"/>
    <w:rsid w:val="00A733B2"/>
    <w:rsid w:val="00A741C2"/>
    <w:rsid w:val="00A91760"/>
    <w:rsid w:val="00A93B00"/>
    <w:rsid w:val="00A93C21"/>
    <w:rsid w:val="00A95FCD"/>
    <w:rsid w:val="00AA5332"/>
    <w:rsid w:val="00AB64C9"/>
    <w:rsid w:val="00AB666A"/>
    <w:rsid w:val="00AC03C1"/>
    <w:rsid w:val="00AC3C6A"/>
    <w:rsid w:val="00AD5620"/>
    <w:rsid w:val="00AD6183"/>
    <w:rsid w:val="00AD656B"/>
    <w:rsid w:val="00AD7C1B"/>
    <w:rsid w:val="00AE16BA"/>
    <w:rsid w:val="00AE1EBE"/>
    <w:rsid w:val="00AF2522"/>
    <w:rsid w:val="00B03C9D"/>
    <w:rsid w:val="00B060AE"/>
    <w:rsid w:val="00B06A29"/>
    <w:rsid w:val="00B10517"/>
    <w:rsid w:val="00B11FE8"/>
    <w:rsid w:val="00B14E76"/>
    <w:rsid w:val="00B15413"/>
    <w:rsid w:val="00B161B8"/>
    <w:rsid w:val="00B162F6"/>
    <w:rsid w:val="00B2048C"/>
    <w:rsid w:val="00B310B9"/>
    <w:rsid w:val="00B3547C"/>
    <w:rsid w:val="00B35F3F"/>
    <w:rsid w:val="00B36CBB"/>
    <w:rsid w:val="00B425E0"/>
    <w:rsid w:val="00B440AA"/>
    <w:rsid w:val="00B44B70"/>
    <w:rsid w:val="00B53C56"/>
    <w:rsid w:val="00B57DAF"/>
    <w:rsid w:val="00B609D5"/>
    <w:rsid w:val="00B70377"/>
    <w:rsid w:val="00B77EA6"/>
    <w:rsid w:val="00B809C9"/>
    <w:rsid w:val="00B81598"/>
    <w:rsid w:val="00B83E8A"/>
    <w:rsid w:val="00B841F1"/>
    <w:rsid w:val="00B944D6"/>
    <w:rsid w:val="00BB4D45"/>
    <w:rsid w:val="00BB4DF0"/>
    <w:rsid w:val="00BC289F"/>
    <w:rsid w:val="00BC2D50"/>
    <w:rsid w:val="00BC3F4E"/>
    <w:rsid w:val="00BC5361"/>
    <w:rsid w:val="00BC5460"/>
    <w:rsid w:val="00BC6B50"/>
    <w:rsid w:val="00BD0E25"/>
    <w:rsid w:val="00BF5BD6"/>
    <w:rsid w:val="00C03E31"/>
    <w:rsid w:val="00C33E72"/>
    <w:rsid w:val="00C354B2"/>
    <w:rsid w:val="00C35554"/>
    <w:rsid w:val="00C42709"/>
    <w:rsid w:val="00C533CC"/>
    <w:rsid w:val="00C5751C"/>
    <w:rsid w:val="00C6096B"/>
    <w:rsid w:val="00C61BFC"/>
    <w:rsid w:val="00C62B85"/>
    <w:rsid w:val="00C65438"/>
    <w:rsid w:val="00C7524A"/>
    <w:rsid w:val="00C75D63"/>
    <w:rsid w:val="00C87FD8"/>
    <w:rsid w:val="00C91381"/>
    <w:rsid w:val="00C91CBB"/>
    <w:rsid w:val="00C94104"/>
    <w:rsid w:val="00CA3ECD"/>
    <w:rsid w:val="00CB4E70"/>
    <w:rsid w:val="00CB5B13"/>
    <w:rsid w:val="00CC09B6"/>
    <w:rsid w:val="00CC1E1D"/>
    <w:rsid w:val="00CC666F"/>
    <w:rsid w:val="00CD1E3F"/>
    <w:rsid w:val="00CE44F6"/>
    <w:rsid w:val="00CE49DA"/>
    <w:rsid w:val="00CE7B61"/>
    <w:rsid w:val="00D00095"/>
    <w:rsid w:val="00D03745"/>
    <w:rsid w:val="00D114F0"/>
    <w:rsid w:val="00D11C50"/>
    <w:rsid w:val="00D20620"/>
    <w:rsid w:val="00D222CE"/>
    <w:rsid w:val="00D254F7"/>
    <w:rsid w:val="00D26091"/>
    <w:rsid w:val="00D2685C"/>
    <w:rsid w:val="00D34E7C"/>
    <w:rsid w:val="00D35489"/>
    <w:rsid w:val="00D36AFE"/>
    <w:rsid w:val="00D376E4"/>
    <w:rsid w:val="00D51276"/>
    <w:rsid w:val="00D6328C"/>
    <w:rsid w:val="00D7035F"/>
    <w:rsid w:val="00D84FDC"/>
    <w:rsid w:val="00D94F12"/>
    <w:rsid w:val="00DA634F"/>
    <w:rsid w:val="00DA65AC"/>
    <w:rsid w:val="00DB1913"/>
    <w:rsid w:val="00DC410D"/>
    <w:rsid w:val="00DC5A81"/>
    <w:rsid w:val="00DC68CA"/>
    <w:rsid w:val="00DC7CBA"/>
    <w:rsid w:val="00DD73B7"/>
    <w:rsid w:val="00DF28BC"/>
    <w:rsid w:val="00DF34B9"/>
    <w:rsid w:val="00E01053"/>
    <w:rsid w:val="00E0306B"/>
    <w:rsid w:val="00E07ACF"/>
    <w:rsid w:val="00E1234D"/>
    <w:rsid w:val="00E251C5"/>
    <w:rsid w:val="00E331A1"/>
    <w:rsid w:val="00E33202"/>
    <w:rsid w:val="00E336A9"/>
    <w:rsid w:val="00E430B7"/>
    <w:rsid w:val="00E43EAE"/>
    <w:rsid w:val="00E472B1"/>
    <w:rsid w:val="00E50624"/>
    <w:rsid w:val="00E54CAA"/>
    <w:rsid w:val="00E568DF"/>
    <w:rsid w:val="00E62409"/>
    <w:rsid w:val="00E64269"/>
    <w:rsid w:val="00E718AB"/>
    <w:rsid w:val="00E82267"/>
    <w:rsid w:val="00E853CE"/>
    <w:rsid w:val="00E867B6"/>
    <w:rsid w:val="00EA010F"/>
    <w:rsid w:val="00EC31A6"/>
    <w:rsid w:val="00ED1B63"/>
    <w:rsid w:val="00ED3C1F"/>
    <w:rsid w:val="00ED4085"/>
    <w:rsid w:val="00ED420E"/>
    <w:rsid w:val="00ED5ED8"/>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4E83"/>
    <w:rsid w:val="00F754A1"/>
    <w:rsid w:val="00F81E32"/>
    <w:rsid w:val="00F81FD9"/>
    <w:rsid w:val="00F841AA"/>
    <w:rsid w:val="00F84A94"/>
    <w:rsid w:val="00F87E96"/>
    <w:rsid w:val="00FA23E8"/>
    <w:rsid w:val="00FA349B"/>
    <w:rsid w:val="00FC0769"/>
    <w:rsid w:val="00FC332B"/>
    <w:rsid w:val="00FD13FC"/>
    <w:rsid w:val="00FD3CC1"/>
    <w:rsid w:val="00FD7D0E"/>
    <w:rsid w:val="00FF1E02"/>
    <w:rsid w:val="00FF30B4"/>
    <w:rsid w:val="053A62B5"/>
    <w:rsid w:val="0A2032A3"/>
    <w:rsid w:val="0B8A37D8"/>
    <w:rsid w:val="10C055FF"/>
    <w:rsid w:val="118107EC"/>
    <w:rsid w:val="11DD6519"/>
    <w:rsid w:val="16BB723D"/>
    <w:rsid w:val="18015F3F"/>
    <w:rsid w:val="1BE8440E"/>
    <w:rsid w:val="1D155CEE"/>
    <w:rsid w:val="20F57F95"/>
    <w:rsid w:val="240371BF"/>
    <w:rsid w:val="25711CC6"/>
    <w:rsid w:val="25C741E6"/>
    <w:rsid w:val="27842671"/>
    <w:rsid w:val="29FD04D3"/>
    <w:rsid w:val="2ABE7A3E"/>
    <w:rsid w:val="2CA234A8"/>
    <w:rsid w:val="2EFA178C"/>
    <w:rsid w:val="30B46D73"/>
    <w:rsid w:val="319F7F4E"/>
    <w:rsid w:val="383D272C"/>
    <w:rsid w:val="39AE70AB"/>
    <w:rsid w:val="3C0C0783"/>
    <w:rsid w:val="3F9F3A96"/>
    <w:rsid w:val="40D46AEA"/>
    <w:rsid w:val="48BF60AB"/>
    <w:rsid w:val="493C27E9"/>
    <w:rsid w:val="496F39ED"/>
    <w:rsid w:val="49FF41D3"/>
    <w:rsid w:val="4BE068DB"/>
    <w:rsid w:val="4BF6002B"/>
    <w:rsid w:val="4ECE2238"/>
    <w:rsid w:val="51DB4B86"/>
    <w:rsid w:val="55333C3E"/>
    <w:rsid w:val="55EB55BB"/>
    <w:rsid w:val="5D7C369E"/>
    <w:rsid w:val="64CA39A1"/>
    <w:rsid w:val="69630ADE"/>
    <w:rsid w:val="6C4A05C8"/>
    <w:rsid w:val="6D3B1A89"/>
    <w:rsid w:val="71BF4EC2"/>
    <w:rsid w:val="72734D90"/>
    <w:rsid w:val="7412278C"/>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uiPriority w:val="99"/>
    <w:pPr>
      <w:widowControl/>
      <w:spacing w:before="100" w:beforeAutospacing="1" w:after="100" w:afterAutospacing="1"/>
      <w:jc w:val="left"/>
      <w:textAlignment w:val="center"/>
    </w:pPr>
    <w:rPr>
      <w:rFonts w:ascii="宋体" w:hAnsi="宋体" w:cs="宋体"/>
      <w:kern w:val="0"/>
      <w:sz w:val="24"/>
    </w:rPr>
  </w:style>
  <w:style w:type="character" w:styleId="15">
    <w:name w:val="Strong"/>
    <w:basedOn w:val="14"/>
    <w:qFormat/>
    <w:uiPriority w:val="22"/>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收、支决算总计变动情况图</a:t>
            </a:r>
            <a:endParaRPr lang="zh-CN"/>
          </a:p>
        </c:rich>
      </c:tx>
      <c:layout/>
      <c:overlay val="0"/>
    </c:title>
    <c:autoTitleDeleted val="0"/>
    <c:plotArea>
      <c:layout/>
      <c:barChart>
        <c:barDir val="col"/>
        <c:grouping val="clustered"/>
        <c:varyColors val="0"/>
        <c:ser>
          <c:idx val="0"/>
          <c:order val="0"/>
          <c:tx>
            <c:strRef>
              <c:f>Sheet1!$B$1</c:f>
              <c:strCache>
                <c:ptCount val="1"/>
                <c:pt idx="0">
                  <c:v>收、支决算总计变动情况图</c:v>
                </c:pt>
              </c:strCache>
            </c:strRef>
          </c:tx>
          <c:invertIfNegative val="0"/>
          <c:dLbls>
            <c:delete val="1"/>
          </c:dLbls>
          <c:cat>
            <c:strRef>
              <c:f>Sheet1!$A$2:$A$3</c:f>
              <c:strCache>
                <c:ptCount val="2"/>
                <c:pt idx="0">
                  <c:v>2021年</c:v>
                </c:pt>
                <c:pt idx="1">
                  <c:v>2022年</c:v>
                </c:pt>
              </c:strCache>
            </c:strRef>
          </c:cat>
          <c:val>
            <c:numRef>
              <c:f>Sheet1!$B$2:$B$3</c:f>
              <c:numCache>
                <c:formatCode>General</c:formatCode>
                <c:ptCount val="2"/>
                <c:pt idx="0">
                  <c:v>406.96</c:v>
                </c:pt>
                <c:pt idx="1">
                  <c:v>451.79</c:v>
                </c:pt>
              </c:numCache>
            </c:numRef>
          </c:val>
        </c:ser>
        <c:dLbls>
          <c:showLegendKey val="0"/>
          <c:showVal val="0"/>
          <c:showCatName val="0"/>
          <c:showSerName val="0"/>
          <c:showPercent val="0"/>
          <c:showBubbleSize val="0"/>
        </c:dLbls>
        <c:gapWidth val="150"/>
        <c:axId val="415458048"/>
        <c:axId val="415460352"/>
      </c:barChart>
      <c:catAx>
        <c:axId val="41545804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460352"/>
        <c:crosses val="autoZero"/>
        <c:auto val="1"/>
        <c:lblAlgn val="ctr"/>
        <c:lblOffset val="100"/>
        <c:noMultiLvlLbl val="0"/>
      </c:catAx>
      <c:valAx>
        <c:axId val="415460352"/>
        <c:scaling>
          <c:orientation val="minMax"/>
          <c:max val="500"/>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458048"/>
        <c:crosses val="autoZero"/>
        <c:crossBetween val="between"/>
        <c:majorUnit val="100"/>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latin typeface="黑体" panose="02010609060101010101" charset="-122"/>
                <a:ea typeface="黑体" panose="02010609060101010101" charset="-122"/>
              </a:rPr>
              <a:t>收入决算结构图</a:t>
            </a:r>
            <a:endParaRPr lang="zh-CN" altLang="en-US" sz="1400" b="0">
              <a:latin typeface="黑体" panose="02010609060101010101" charset="-122"/>
              <a:ea typeface="黑体" panose="02010609060101010101" charset="-122"/>
            </a:endParaRPr>
          </a:p>
        </c:rich>
      </c:tx>
      <c:layout/>
      <c:overlay val="0"/>
    </c:title>
    <c:autoTitleDeleted val="0"/>
    <c:plotArea>
      <c:layout/>
      <c:pieChart>
        <c:varyColors val="1"/>
        <c:ser>
          <c:idx val="0"/>
          <c:order val="0"/>
          <c:tx>
            <c:strRef>
              <c:f>Sheet1!$B$1</c:f>
              <c:strCache>
                <c:ptCount val="1"/>
                <c:pt idx="0">
                  <c:v>收入决算结构图</c:v>
                </c:pt>
              </c:strCache>
            </c:strRef>
          </c:tx>
          <c:explosion val="3"/>
          <c:dPt>
            <c:idx val="0"/>
            <c:bubble3D val="0"/>
          </c:dPt>
          <c:dLbls>
            <c:dLbl>
              <c:idx val="0"/>
              <c:layout>
                <c:manualLayout>
                  <c:x val="-0.00272700569468528"/>
                  <c:y val="-0.38541429999268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sz="1200">
                        <a:latin typeface="黑体" panose="02010609060101010101" charset="-122"/>
                        <a:ea typeface="黑体" panose="02010609060101010101" charset="-122"/>
                      </a:rPr>
                      <a:t>442.32</a:t>
                    </a:r>
                    <a:endParaRPr lang="en-US" altLang="en-US" sz="1200">
                      <a:latin typeface="黑体" panose="02010609060101010101" charset="-122"/>
                      <a:ea typeface="黑体" panose="02010609060101010101" charset="-122"/>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c:f>
              <c:strCache>
                <c:ptCount val="1"/>
                <c:pt idx="0">
                  <c:v>一般公共预算财政拨款收入</c:v>
                </c:pt>
              </c:strCache>
            </c:strRef>
          </c:cat>
          <c:val>
            <c:numRef>
              <c:f>Sheet1!$B$2</c:f>
              <c:numCache>
                <c:formatCode>General</c:formatCode>
                <c:ptCount val="1"/>
                <c:pt idx="0">
                  <c:v>442.32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latin typeface="黑体" panose="02010609060101010101" charset="-122"/>
                <a:ea typeface="黑体" panose="02010609060101010101" charset="-122"/>
              </a:rPr>
              <a:t>支出决算结构图</a:t>
            </a:r>
            <a:endParaRPr lang="zh-CN" altLang="en-US" sz="1400" b="0">
              <a:latin typeface="黑体" panose="02010609060101010101" charset="-122"/>
              <a:ea typeface="黑体" panose="02010609060101010101" charset="-122"/>
            </a:endParaRPr>
          </a:p>
        </c:rich>
      </c:tx>
      <c:layout/>
      <c:overlay val="0"/>
    </c:title>
    <c:autoTitleDeleted val="0"/>
    <c:plotArea>
      <c:layout/>
      <c:pieChart>
        <c:varyColors val="1"/>
        <c:ser>
          <c:idx val="0"/>
          <c:order val="0"/>
          <c:tx>
            <c:strRef>
              <c:f>Sheet1!$B$1</c:f>
              <c:strCache>
                <c:ptCount val="1"/>
                <c:pt idx="0">
                  <c:v>支出决算结构图</c:v>
                </c:pt>
              </c:strCache>
            </c:strRef>
          </c:tx>
          <c:explosion val="0"/>
          <c:dPt>
            <c:idx val="0"/>
            <c:bubble3D val="0"/>
          </c:dPt>
          <c:dPt>
            <c:idx val="1"/>
            <c:bubble3D val="0"/>
          </c:dPt>
          <c:dLbls>
            <c:dLbl>
              <c:idx val="0"/>
              <c:layout>
                <c:manualLayout>
                  <c:x val="-0.112281759003951"/>
                  <c:y val="-0.17036152214719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sz="1200">
                        <a:latin typeface="黑体" panose="02010609060101010101" charset="-122"/>
                        <a:ea typeface="黑体" panose="02010609060101010101" charset="-122"/>
                      </a:rPr>
                      <a:t>333.73</a:t>
                    </a:r>
                    <a:endParaRPr lang="en-US" altLang="en-US" sz="1200">
                      <a:latin typeface="黑体" panose="02010609060101010101" charset="-122"/>
                      <a:ea typeface="黑体" panose="02010609060101010101" charset="-122"/>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sz="1200">
                        <a:latin typeface="黑体" panose="02010609060101010101" charset="-122"/>
                        <a:ea typeface="黑体" panose="02010609060101010101" charset="-122"/>
                      </a:rPr>
                      <a:t>117.57</a:t>
                    </a:r>
                    <a:endParaRPr lang="en-US" altLang="en-US" sz="1200">
                      <a:latin typeface="黑体" panose="02010609060101010101" charset="-122"/>
                      <a:ea typeface="黑体" panose="02010609060101010101" charset="-122"/>
                    </a:endParaRP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333.73</c:v>
                </c:pt>
                <c:pt idx="1">
                  <c:v>117.57</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400" b="0" i="0" u="none" strike="noStrike" baseline="0">
                <a:effectLst/>
                <a:latin typeface="黑体" panose="02010609060101010101" charset="-122"/>
                <a:ea typeface="黑体" panose="02010609060101010101" charset="-122"/>
              </a:rPr>
              <a:t>财政拨款收、支决算总计</a:t>
            </a:r>
            <a:endParaRPr lang="zh-CN" sz="1400" b="0">
              <a:latin typeface="黑体" panose="02010609060101010101" charset="-122"/>
              <a:ea typeface="黑体" panose="02010609060101010101" charset="-122"/>
            </a:endParaRPr>
          </a:p>
        </c:rich>
      </c:tx>
      <c:layout/>
      <c:overlay val="0"/>
    </c:title>
    <c:autoTitleDeleted val="0"/>
    <c:plotArea>
      <c:layout/>
      <c:barChart>
        <c:barDir val="col"/>
        <c:grouping val="clustered"/>
        <c:varyColors val="0"/>
        <c:ser>
          <c:idx val="0"/>
          <c:order val="0"/>
          <c:tx>
            <c:strRef>
              <c:f>Sheet1!$B$1</c:f>
              <c:strCache>
                <c:ptCount val="1"/>
                <c:pt idx="0">
                  <c:v>财政拨款收、支决算总计</c:v>
                </c:pt>
              </c:strCache>
            </c:strRef>
          </c:tx>
          <c:invertIfNegative val="0"/>
          <c:dLbls>
            <c:delete val="1"/>
          </c:dLbls>
          <c:cat>
            <c:strRef>
              <c:f>Sheet1!$A$2:$A$3</c:f>
              <c:strCache>
                <c:ptCount val="2"/>
                <c:pt idx="0">
                  <c:v>2021年</c:v>
                </c:pt>
                <c:pt idx="1">
                  <c:v>2022年</c:v>
                </c:pt>
              </c:strCache>
            </c:strRef>
          </c:cat>
          <c:val>
            <c:numRef>
              <c:f>Sheet1!$B$2:$B$3</c:f>
              <c:numCache>
                <c:formatCode>General</c:formatCode>
                <c:ptCount val="2"/>
                <c:pt idx="0">
                  <c:v>406.96</c:v>
                </c:pt>
                <c:pt idx="1">
                  <c:v>451.79</c:v>
                </c:pt>
              </c:numCache>
            </c:numRef>
          </c:val>
        </c:ser>
        <c:dLbls>
          <c:showLegendKey val="0"/>
          <c:showVal val="0"/>
          <c:showCatName val="0"/>
          <c:showSerName val="0"/>
          <c:showPercent val="0"/>
          <c:showBubbleSize val="0"/>
        </c:dLbls>
        <c:gapWidth val="150"/>
        <c:axId val="167928192"/>
        <c:axId val="167929728"/>
      </c:barChart>
      <c:catAx>
        <c:axId val="16792819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7929728"/>
        <c:crosses val="autoZero"/>
        <c:auto val="1"/>
        <c:lblAlgn val="ctr"/>
        <c:lblOffset val="100"/>
        <c:noMultiLvlLbl val="0"/>
      </c:catAx>
      <c:valAx>
        <c:axId val="167929728"/>
        <c:scaling>
          <c:orientation val="minMax"/>
          <c:max val="500"/>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7928192"/>
        <c:crosses val="autoZero"/>
        <c:crossBetween val="between"/>
        <c:majorUnit val="100"/>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一般公共预算财政拨款支出决算</c:v>
                </c:pt>
              </c:strCache>
            </c:strRef>
          </c:tx>
          <c:invertIfNegative val="0"/>
          <c:dLbls>
            <c:delete val="1"/>
          </c:dLbls>
          <c:cat>
            <c:strRef>
              <c:f>Sheet1!$A$2:$A$3</c:f>
              <c:strCache>
                <c:ptCount val="2"/>
                <c:pt idx="0">
                  <c:v>2021年</c:v>
                </c:pt>
                <c:pt idx="1">
                  <c:v>2022年</c:v>
                </c:pt>
              </c:strCache>
            </c:strRef>
          </c:cat>
          <c:val>
            <c:numRef>
              <c:f>Sheet1!$B$2:$B$3</c:f>
              <c:numCache>
                <c:formatCode>General</c:formatCode>
                <c:ptCount val="2"/>
                <c:pt idx="0">
                  <c:v>405.3</c:v>
                </c:pt>
                <c:pt idx="1">
                  <c:v>451.29</c:v>
                </c:pt>
              </c:numCache>
            </c:numRef>
          </c:val>
        </c:ser>
        <c:dLbls>
          <c:showLegendKey val="0"/>
          <c:showVal val="0"/>
          <c:showCatName val="0"/>
          <c:showSerName val="0"/>
          <c:showPercent val="0"/>
          <c:showBubbleSize val="0"/>
        </c:dLbls>
        <c:gapWidth val="150"/>
        <c:axId val="167946112"/>
        <c:axId val="167947648"/>
      </c:barChart>
      <c:catAx>
        <c:axId val="16794611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7947648"/>
        <c:crosses val="autoZero"/>
        <c:auto val="1"/>
        <c:lblAlgn val="ctr"/>
        <c:lblOffset val="100"/>
        <c:noMultiLvlLbl val="0"/>
      </c:catAx>
      <c:valAx>
        <c:axId val="167947648"/>
        <c:scaling>
          <c:orientation val="minMax"/>
          <c:max val="500"/>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7946112"/>
        <c:crosses val="autoZero"/>
        <c:crossBetween val="between"/>
        <c:majorUnit val="100"/>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latin typeface="黑体" panose="02010609060101010101" charset="-122"/>
                <a:ea typeface="黑体" panose="02010609060101010101" charset="-122"/>
              </a:rPr>
              <a:t>一般公共预算财政拨款支出</a:t>
            </a:r>
            <a:endParaRPr lang="zh-CN" altLang="en-US" sz="1400" b="0">
              <a:latin typeface="黑体" panose="02010609060101010101" charset="-122"/>
              <a:ea typeface="黑体" panose="02010609060101010101" charset="-122"/>
            </a:endParaRPr>
          </a:p>
        </c:rich>
      </c:tx>
      <c:layout/>
      <c:overlay val="0"/>
    </c:title>
    <c:autoTitleDeleted val="0"/>
    <c:plotArea>
      <c:layout/>
      <c:pieChart>
        <c:varyColors val="1"/>
        <c:ser>
          <c:idx val="0"/>
          <c:order val="0"/>
          <c:tx>
            <c:strRef>
              <c:f>Sheet1!$B$1</c:f>
              <c:strCache>
                <c:ptCount val="1"/>
                <c:pt idx="0">
                  <c:v>一般公共预算财政拨款支出</c:v>
                </c:pt>
              </c:strCache>
            </c:strRef>
          </c:tx>
          <c:explosion val="0"/>
          <c:dPt>
            <c:idx val="0"/>
            <c:bubble3D val="0"/>
          </c:dPt>
          <c:dPt>
            <c:idx val="1"/>
            <c:bubble3D val="0"/>
          </c:dPt>
          <c:dPt>
            <c:idx val="2"/>
            <c:bubble3D val="0"/>
          </c:dPt>
          <c:dLbls>
            <c:dLbl>
              <c:idx val="0"/>
              <c:layout>
                <c:manualLayout>
                  <c:x val="-0.0999624776144859"/>
                  <c:y val="-0.22319787425952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sz="1400">
                        <a:latin typeface="黑体" panose="02010609060101010101" charset="-122"/>
                        <a:ea typeface="黑体" panose="02010609060101010101" charset="-122"/>
                      </a:rPr>
                      <a:t>394.95</a:t>
                    </a:r>
                    <a:endParaRPr lang="en-US" altLang="en-US" sz="1400">
                      <a:latin typeface="黑体" panose="02010609060101010101" charset="-122"/>
                      <a:ea typeface="黑体" panose="02010609060101010101" charset="-122"/>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一般公共服务支出</c:v>
                </c:pt>
                <c:pt idx="1">
                  <c:v>社会保障和就业支出</c:v>
                </c:pt>
                <c:pt idx="2">
                  <c:v>住房保障支出</c:v>
                </c:pt>
              </c:strCache>
            </c:strRef>
          </c:cat>
          <c:val>
            <c:numRef>
              <c:f>Sheet1!$B$2:$B$4</c:f>
              <c:numCache>
                <c:formatCode>General</c:formatCode>
                <c:ptCount val="3"/>
                <c:pt idx="0">
                  <c:v>394.95</c:v>
                </c:pt>
                <c:pt idx="1">
                  <c:v>28.38</c:v>
                </c:pt>
                <c:pt idx="2">
                  <c:v>27.97</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latin typeface="黑体" panose="02010609060101010101" charset="-122"/>
                <a:ea typeface="黑体" panose="02010609060101010101" charset="-122"/>
              </a:rPr>
              <a:t>“三公”经费财政拨款支出</a:t>
            </a:r>
            <a:endParaRPr lang="zh-CN" altLang="en-US" sz="1400" b="0">
              <a:latin typeface="黑体" panose="02010609060101010101" charset="-122"/>
              <a:ea typeface="黑体" panose="02010609060101010101" charset="-122"/>
            </a:endParaRPr>
          </a:p>
        </c:rich>
      </c:tx>
      <c:layout/>
      <c:overlay val="0"/>
    </c:title>
    <c:autoTitleDeleted val="0"/>
    <c:plotArea>
      <c:layout/>
      <c:pieChart>
        <c:varyColors val="1"/>
        <c:ser>
          <c:idx val="0"/>
          <c:order val="0"/>
          <c:tx>
            <c:strRef>
              <c:f>Sheet1!$B$1</c:f>
              <c:strCache>
                <c:ptCount val="1"/>
                <c:pt idx="0">
                  <c:v>“三公”经费财政拨款支出</c:v>
                </c:pt>
              </c:strCache>
            </c:strRef>
          </c:tx>
          <c:explosion val="0"/>
          <c:dPt>
            <c:idx val="0"/>
            <c:bubble3D val="0"/>
          </c:dPt>
          <c:dLbls>
            <c:dLbl>
              <c:idx val="0"/>
              <c:layout>
                <c:manualLayout>
                  <c:x val="-0.00603617688583151"/>
                  <c:y val="-0.40096080869148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sz="1400">
                        <a:latin typeface="黑体" panose="02010609060101010101" charset="-122"/>
                        <a:ea typeface="黑体" panose="02010609060101010101" charset="-122"/>
                      </a:rPr>
                      <a:t>1.08</a:t>
                    </a:r>
                    <a:endParaRPr lang="en-US" altLang="en-US" sz="1400">
                      <a:latin typeface="黑体" panose="02010609060101010101" charset="-122"/>
                      <a:ea typeface="黑体" panose="02010609060101010101" charset="-122"/>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c:f>
              <c:strCache>
                <c:ptCount val="1"/>
                <c:pt idx="0">
                  <c:v>公务用车购置及运行维护费支出</c:v>
                </c:pt>
              </c:strCache>
            </c:strRef>
          </c:cat>
          <c:val>
            <c:numRef>
              <c:f>Sheet1!$B$2</c:f>
              <c:numCache>
                <c:formatCode>General</c:formatCode>
                <c:ptCount val="1"/>
                <c:pt idx="0">
                  <c:v>1.08</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2658D-7570-4A80-8D3C-3DEC03139557}">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Pages>
  <Words>1231</Words>
  <Characters>7020</Characters>
  <Lines>58</Lines>
  <Paragraphs>16</Paragraphs>
  <TotalTime>387</TotalTime>
  <ScaleCrop>false</ScaleCrop>
  <LinksUpToDate>false</LinksUpToDate>
  <CharactersWithSpaces>8235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李燕君</cp:lastModifiedBy>
  <cp:lastPrinted>2023-07-31T02:35:00Z</cp:lastPrinted>
  <dcterms:modified xsi:type="dcterms:W3CDTF">2023-09-13T03:41:44Z</dcterms:modified>
  <dc:title>四川省***</dc:title>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