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425"/>
      <w:bookmarkStart w:id="3" w:name="_Toc15377193"/>
      <w:bookmarkStart w:id="4" w:name="_Toc15396597"/>
      <w:bookmarkStart w:id="5" w:name="_Toc15378441"/>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96598"/>
      <w:bookmarkStart w:id="8" w:name="_Toc15378442"/>
      <w:bookmarkStart w:id="9" w:name="_Toc15377194"/>
      <w:bookmarkStart w:id="10" w:name="_Toc15377426"/>
      <w:r>
        <w:rPr>
          <w:rFonts w:hint="eastAsia" w:ascii="方正小标宋简体" w:hAnsi="方正小标宋简体" w:eastAsia="方正小标宋简体" w:cs="方正小标宋简体"/>
          <w:sz w:val="72"/>
          <w:szCs w:val="72"/>
        </w:rPr>
        <w:t>攀枝花市</w:t>
      </w:r>
      <w:bookmarkEnd w:id="0"/>
      <w:bookmarkStart w:id="11" w:name="_Toc15306268"/>
      <w:r>
        <w:rPr>
          <w:rFonts w:hint="eastAsia" w:ascii="方正小标宋简体" w:hAnsi="方正小标宋简体" w:eastAsia="方正小标宋简体" w:cs="方正小标宋简体"/>
          <w:sz w:val="72"/>
          <w:szCs w:val="72"/>
        </w:rPr>
        <w:t>政务服务管理局单位决算</w:t>
      </w:r>
      <w:bookmarkEnd w:id="6"/>
      <w:bookmarkEnd w:id="7"/>
      <w:bookmarkEnd w:id="8"/>
      <w:bookmarkEnd w:id="9"/>
      <w:bookmarkEnd w:id="10"/>
      <w:bookmarkEnd w:id="11"/>
    </w:p>
    <w:p>
      <w:pPr>
        <w:widowControl/>
        <w:jc w:val="center"/>
        <w:rPr>
          <w:rFonts w:ascii="黑体" w:hAnsi="黑体" w:eastAsia="黑体" w:cstheme="minorBidi"/>
          <w:sz w:val="28"/>
          <w:szCs w:val="28"/>
        </w:rPr>
      </w:pPr>
      <w:r>
        <w:rPr>
          <w:rFonts w:ascii="方正小标宋简体" w:hAnsi="宋体" w:eastAsia="方正小标宋简体"/>
          <w:sz w:val="36"/>
          <w:szCs w:val="36"/>
        </w:rPr>
        <w:br w:type="page"/>
      </w:r>
      <w:r>
        <w:rPr>
          <w:rFonts w:hint="eastAsia" w:ascii="黑体" w:hAnsi="黑体" w:eastAsia="黑体"/>
          <w:sz w:val="48"/>
          <w:szCs w:val="48"/>
        </w:rPr>
        <w:t>目录</w:t>
      </w:r>
    </w:p>
    <w:p>
      <w:pPr>
        <w:pStyle w:val="10"/>
        <w:adjustRightInd w:val="0"/>
        <w:snapToGrid w:val="0"/>
        <w:spacing w:before="0" w:line="440" w:lineRule="exact"/>
        <w:ind w:firstLine="2240" w:firstLineChars="800"/>
        <w:jc w:val="left"/>
      </w:pPr>
      <w:r>
        <w:rPr>
          <w:rFonts w:hint="eastAsia"/>
        </w:rPr>
        <w:t>公开时间：2023年9月</w:t>
      </w:r>
      <w:r>
        <w:t>1</w:t>
      </w:r>
      <w:r>
        <w:rPr>
          <w:rFonts w:hint="eastAsia"/>
          <w:lang w:val="en-US" w:eastAsia="zh-CN"/>
        </w:rPr>
        <w:t>4</w:t>
      </w:r>
      <w:r>
        <w:rPr>
          <w:rFonts w:hint="eastAsia"/>
        </w:rPr>
        <w:t>日</w:t>
      </w:r>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Pr>
          <w:rFonts w:cstheme="minorBidi"/>
          <w:sz w:val="24"/>
          <w:szCs w:val="24"/>
        </w:rPr>
        <w:tab/>
      </w:r>
      <w:r>
        <w:rPr>
          <w:rFonts w:hint="eastAsia" w:cstheme="minorBidi"/>
          <w:sz w:val="24"/>
          <w:szCs w:val="24"/>
        </w:rPr>
        <w:t>4</w:t>
      </w:r>
    </w:p>
    <w:p>
      <w:pPr>
        <w:pStyle w:val="11"/>
        <w:adjustRightInd w:val="0"/>
        <w:snapToGrid w:val="0"/>
        <w:spacing w:line="440" w:lineRule="exact"/>
        <w:jc w:val="left"/>
        <w:rPr>
          <w:sz w:val="24"/>
        </w:rPr>
      </w:pPr>
      <w:r>
        <w:rPr>
          <w:rFonts w:hint="eastAsia"/>
          <w:sz w:val="24"/>
        </w:rPr>
        <w:t>一、主要职责</w:t>
      </w:r>
      <w:r>
        <w:rPr>
          <w:rFonts w:cstheme="minorBidi"/>
          <w:sz w:val="24"/>
        </w:rPr>
        <w:tab/>
      </w:r>
      <w:r>
        <w:rPr>
          <w:rFonts w:hint="eastAsia" w:cstheme="minorBidi"/>
          <w:sz w:val="24"/>
        </w:rPr>
        <w:t>4</w:t>
      </w:r>
    </w:p>
    <w:p>
      <w:pPr>
        <w:pStyle w:val="11"/>
        <w:adjustRightInd w:val="0"/>
        <w:snapToGrid w:val="0"/>
        <w:spacing w:line="440" w:lineRule="exact"/>
        <w:jc w:val="left"/>
      </w:pPr>
      <w:r>
        <w:rPr>
          <w:rFonts w:hint="eastAsia"/>
          <w:sz w:val="24"/>
        </w:rPr>
        <w:t>二、机构设置</w:t>
      </w:r>
      <w:r>
        <w:rPr>
          <w:rFonts w:cstheme="minorBidi"/>
          <w:sz w:val="24"/>
        </w:rPr>
        <w:tab/>
      </w:r>
      <w:r>
        <w:rPr>
          <w:rFonts w:hint="eastAsia" w:cstheme="minorBidi"/>
          <w:sz w:val="24"/>
        </w:rPr>
        <w:t>5</w:t>
      </w:r>
    </w:p>
    <w:p>
      <w:pPr>
        <w:pStyle w:val="10"/>
        <w:adjustRightInd w:val="0"/>
        <w:snapToGrid w:val="0"/>
        <w:spacing w:before="0" w:line="440" w:lineRule="exact"/>
        <w:jc w:val="left"/>
        <w:rPr>
          <w:sz w:val="24"/>
          <w:szCs w:val="24"/>
        </w:rPr>
      </w:pPr>
      <w:r>
        <w:rPr>
          <w:rFonts w:hint="eastAsia"/>
          <w:sz w:val="24"/>
        </w:rPr>
        <w:t>第二部分 2022年度单位决算情况说明</w:t>
      </w:r>
      <w:r>
        <w:rPr>
          <w:rFonts w:cstheme="minorBidi"/>
          <w:sz w:val="24"/>
        </w:rPr>
        <w:tab/>
      </w:r>
      <w:r>
        <w:rPr>
          <w:rFonts w:hint="eastAsia" w:cstheme="minorBidi"/>
          <w:sz w:val="24"/>
        </w:rPr>
        <w:t>7</w:t>
      </w:r>
    </w:p>
    <w:p>
      <w:pPr>
        <w:pStyle w:val="11"/>
        <w:adjustRightInd w:val="0"/>
        <w:snapToGrid w:val="0"/>
        <w:spacing w:line="440" w:lineRule="exact"/>
        <w:jc w:val="left"/>
        <w:rPr>
          <w:rFonts w:ascii="仿宋" w:hAnsi="仿宋" w:cstheme="minorBidi"/>
          <w:sz w:val="24"/>
        </w:rPr>
      </w:pPr>
      <w:r>
        <w:rPr>
          <w:rFonts w:hint="eastAsia"/>
          <w:sz w:val="24"/>
        </w:rPr>
        <w:t>一、收入支出决算总体情况说明</w:t>
      </w:r>
      <w:r>
        <w:rPr>
          <w:rFonts w:cstheme="minorBidi"/>
          <w:sz w:val="24"/>
        </w:rPr>
        <w:tab/>
      </w:r>
      <w:r>
        <w:rPr>
          <w:rFonts w:hint="eastAsia" w:cstheme="minorBidi"/>
          <w:sz w:val="24"/>
        </w:rPr>
        <w:t>7</w:t>
      </w:r>
    </w:p>
    <w:p>
      <w:pPr>
        <w:pStyle w:val="11"/>
        <w:adjustRightInd w:val="0"/>
        <w:snapToGrid w:val="0"/>
        <w:spacing w:line="440" w:lineRule="exact"/>
        <w:jc w:val="left"/>
        <w:rPr>
          <w:rFonts w:ascii="仿宋" w:hAnsi="仿宋" w:cstheme="minorBidi"/>
          <w:sz w:val="24"/>
        </w:rPr>
      </w:pPr>
      <w:r>
        <w:rPr>
          <w:rFonts w:hint="eastAsia"/>
          <w:sz w:val="24"/>
        </w:rPr>
        <w:t>二、收入决算情况说明</w:t>
      </w:r>
      <w:r>
        <w:rPr>
          <w:rFonts w:cstheme="minorBidi"/>
          <w:sz w:val="24"/>
        </w:rPr>
        <w:tab/>
      </w:r>
      <w:r>
        <w:rPr>
          <w:rFonts w:hint="eastAsia" w:cstheme="minorBidi"/>
          <w:sz w:val="24"/>
        </w:rPr>
        <w:t>7</w:t>
      </w:r>
    </w:p>
    <w:p>
      <w:pPr>
        <w:pStyle w:val="11"/>
        <w:adjustRightInd w:val="0"/>
        <w:snapToGrid w:val="0"/>
        <w:spacing w:line="440" w:lineRule="exact"/>
        <w:jc w:val="left"/>
        <w:rPr>
          <w:rFonts w:ascii="仿宋" w:hAnsi="仿宋" w:cstheme="minorBidi"/>
          <w:sz w:val="24"/>
        </w:rPr>
      </w:pPr>
      <w:r>
        <w:rPr>
          <w:rFonts w:hint="eastAsia"/>
          <w:sz w:val="24"/>
        </w:rPr>
        <w:t>三、支出决算情况说明</w:t>
      </w:r>
      <w:r>
        <w:rPr>
          <w:rFonts w:cstheme="minorBidi"/>
          <w:sz w:val="24"/>
        </w:rPr>
        <w:tab/>
      </w:r>
      <w:r>
        <w:rPr>
          <w:rFonts w:hint="eastAsia" w:cstheme="minorBidi"/>
          <w:sz w:val="24"/>
        </w:rPr>
        <w:t>8</w:t>
      </w:r>
    </w:p>
    <w:p>
      <w:pPr>
        <w:pStyle w:val="11"/>
        <w:adjustRightInd w:val="0"/>
        <w:snapToGrid w:val="0"/>
        <w:spacing w:line="440" w:lineRule="exact"/>
        <w:jc w:val="left"/>
        <w:rPr>
          <w:rFonts w:ascii="仿宋" w:hAnsi="仿宋" w:cstheme="minorBidi"/>
          <w:sz w:val="24"/>
        </w:rPr>
      </w:pPr>
      <w:r>
        <w:rPr>
          <w:rFonts w:hint="eastAsia"/>
          <w:sz w:val="24"/>
        </w:rPr>
        <w:t>四、财政拨款收入支出决算总体情况说明</w:t>
      </w:r>
      <w:r>
        <w:rPr>
          <w:rFonts w:cstheme="minorBidi"/>
          <w:sz w:val="24"/>
        </w:rPr>
        <w:tab/>
      </w:r>
      <w:r>
        <w:rPr>
          <w:rFonts w:hint="eastAsia" w:cstheme="minorBidi"/>
          <w:sz w:val="24"/>
        </w:rPr>
        <w:t>8</w:t>
      </w:r>
    </w:p>
    <w:p>
      <w:pPr>
        <w:pStyle w:val="11"/>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9</w:t>
      </w:r>
    </w:p>
    <w:p>
      <w:pPr>
        <w:pStyle w:val="11"/>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rPr>
        <w:t>10</w:t>
      </w:r>
    </w:p>
    <w:p>
      <w:pPr>
        <w:pStyle w:val="11"/>
        <w:adjustRightInd w:val="0"/>
        <w:snapToGrid w:val="0"/>
        <w:spacing w:line="440" w:lineRule="exact"/>
        <w:jc w:val="left"/>
        <w:rPr>
          <w:rFonts w:ascii="仿宋" w:hAnsi="仿宋" w:cstheme="minorBidi"/>
          <w:sz w:val="24"/>
        </w:rPr>
      </w:pPr>
      <w:r>
        <w:rPr>
          <w:rFonts w:hint="eastAsia"/>
          <w:sz w:val="24"/>
        </w:rPr>
        <w:t>七、财政拨款“三公”经费支出决算情况说明</w:t>
      </w:r>
      <w:r>
        <w:rPr>
          <w:rFonts w:cstheme="minorBidi"/>
          <w:sz w:val="24"/>
        </w:rPr>
        <w:tab/>
      </w:r>
      <w:r>
        <w:rPr>
          <w:rFonts w:hint="eastAsia" w:cstheme="minorBidi"/>
          <w:sz w:val="24"/>
        </w:rPr>
        <w:t>11</w:t>
      </w:r>
    </w:p>
    <w:p>
      <w:pPr>
        <w:pStyle w:val="11"/>
        <w:adjustRightInd w:val="0"/>
        <w:snapToGrid w:val="0"/>
        <w:spacing w:line="440" w:lineRule="exact"/>
        <w:jc w:val="left"/>
        <w:rPr>
          <w:rFonts w:ascii="仿宋" w:hAnsi="仿宋" w:cstheme="minorBidi"/>
          <w:sz w:val="24"/>
        </w:rPr>
      </w:pPr>
      <w:r>
        <w:rPr>
          <w:rFonts w:hint="eastAsia"/>
          <w:sz w:val="24"/>
        </w:rPr>
        <w:t>八、政府性基金预算支出决算情况说明</w:t>
      </w:r>
      <w:r>
        <w:rPr>
          <w:rFonts w:cstheme="minorBidi"/>
          <w:sz w:val="24"/>
        </w:rPr>
        <w:tab/>
      </w:r>
      <w:r>
        <w:rPr>
          <w:rFonts w:hint="eastAsia" w:cstheme="minorBidi"/>
          <w:sz w:val="24"/>
        </w:rPr>
        <w:t>13</w:t>
      </w:r>
    </w:p>
    <w:p>
      <w:pPr>
        <w:pStyle w:val="11"/>
        <w:adjustRightInd w:val="0"/>
        <w:snapToGrid w:val="0"/>
        <w:spacing w:line="440" w:lineRule="exact"/>
        <w:jc w:val="left"/>
        <w:rPr>
          <w:sz w:val="24"/>
        </w:rPr>
      </w:pPr>
      <w:r>
        <w:rPr>
          <w:rFonts w:hint="eastAsia"/>
          <w:sz w:val="24"/>
        </w:rPr>
        <w:t>九、国有资本经营预算支出决算情况说明</w:t>
      </w:r>
      <w:r>
        <w:rPr>
          <w:rFonts w:cstheme="minorBidi"/>
          <w:sz w:val="24"/>
        </w:rPr>
        <w:tab/>
      </w:r>
      <w:r>
        <w:rPr>
          <w:rFonts w:hint="eastAsia" w:cstheme="minorBidi"/>
          <w:sz w:val="24"/>
        </w:rPr>
        <w:t>13</w:t>
      </w:r>
    </w:p>
    <w:p>
      <w:pPr>
        <w:pStyle w:val="11"/>
        <w:adjustRightInd w:val="0"/>
        <w:snapToGrid w:val="0"/>
        <w:spacing w:line="440" w:lineRule="exact"/>
        <w:jc w:val="left"/>
        <w:rPr>
          <w:sz w:val="24"/>
        </w:rPr>
      </w:pPr>
      <w:r>
        <w:rPr>
          <w:rFonts w:hint="eastAsia"/>
          <w:sz w:val="24"/>
        </w:rPr>
        <w:t>十、其他重要事项的情况说明</w:t>
      </w:r>
      <w:r>
        <w:rPr>
          <w:rFonts w:cstheme="minorBidi"/>
          <w:sz w:val="24"/>
        </w:rPr>
        <w:tab/>
      </w:r>
      <w:r>
        <w:rPr>
          <w:rFonts w:hint="eastAsia" w:cstheme="minorBidi"/>
          <w:sz w:val="24"/>
        </w:rPr>
        <w:t>13</w:t>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cstheme="minorBidi"/>
          <w:sz w:val="24"/>
        </w:rPr>
        <w:tab/>
      </w:r>
      <w:r>
        <w:rPr>
          <w:rFonts w:hint="eastAsia" w:cstheme="minorBidi"/>
          <w:sz w:val="24"/>
        </w:rPr>
        <w:t>15</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cstheme="minorBidi"/>
          <w:sz w:val="24"/>
        </w:rPr>
        <w:tab/>
      </w:r>
      <w:r>
        <w:rPr>
          <w:rFonts w:hint="eastAsia" w:cstheme="minorBidi"/>
          <w:sz w:val="24"/>
        </w:rPr>
        <w:t>18</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cstheme="minorBidi"/>
          <w:sz w:val="24"/>
        </w:rPr>
        <w:tab/>
      </w:r>
      <w:r>
        <w:rPr>
          <w:rFonts w:hint="eastAsia" w:cstheme="minorBidi"/>
          <w:sz w:val="24"/>
        </w:rPr>
        <w:t>19</w:t>
      </w:r>
    </w:p>
    <w:p>
      <w:pPr>
        <w:pStyle w:val="11"/>
        <w:adjustRightInd w:val="0"/>
        <w:snapToGrid w:val="0"/>
        <w:spacing w:line="440" w:lineRule="exact"/>
        <w:jc w:val="left"/>
        <w:rPr>
          <w:sz w:val="24"/>
        </w:rPr>
      </w:pPr>
      <w:r>
        <w:rPr>
          <w:rFonts w:hint="eastAsia"/>
          <w:sz w:val="24"/>
        </w:rPr>
        <w:t>一、收入支出决算总表</w:t>
      </w:r>
      <w:r>
        <w:rPr>
          <w:rFonts w:cstheme="minorBidi"/>
          <w:sz w:val="24"/>
        </w:rPr>
        <w:tab/>
      </w:r>
      <w:r>
        <w:rPr>
          <w:rFonts w:hint="eastAsia" w:cstheme="minorBidi"/>
          <w:sz w:val="24"/>
        </w:rPr>
        <w:t>19</w:t>
      </w:r>
    </w:p>
    <w:p>
      <w:pPr>
        <w:pStyle w:val="11"/>
        <w:adjustRightInd w:val="0"/>
        <w:snapToGrid w:val="0"/>
        <w:spacing w:line="440" w:lineRule="exact"/>
        <w:jc w:val="left"/>
        <w:rPr>
          <w:sz w:val="24"/>
        </w:rPr>
      </w:pPr>
      <w:r>
        <w:rPr>
          <w:rFonts w:hint="eastAsia"/>
          <w:sz w:val="24"/>
        </w:rPr>
        <w:t>二、收入决算表</w:t>
      </w:r>
      <w:r>
        <w:rPr>
          <w:rFonts w:cstheme="minorBidi"/>
          <w:sz w:val="24"/>
        </w:rPr>
        <w:tab/>
      </w:r>
      <w:r>
        <w:rPr>
          <w:rFonts w:hint="eastAsia" w:cstheme="minorBidi"/>
          <w:sz w:val="24"/>
        </w:rPr>
        <w:t>19</w:t>
      </w:r>
    </w:p>
    <w:p>
      <w:pPr>
        <w:pStyle w:val="11"/>
        <w:adjustRightInd w:val="0"/>
        <w:snapToGrid w:val="0"/>
        <w:spacing w:line="440" w:lineRule="exact"/>
        <w:jc w:val="left"/>
        <w:rPr>
          <w:sz w:val="24"/>
        </w:rPr>
      </w:pPr>
      <w:r>
        <w:rPr>
          <w:rFonts w:hint="eastAsia"/>
          <w:sz w:val="24"/>
        </w:rPr>
        <w:t>三、支出决算表</w:t>
      </w:r>
      <w:r>
        <w:rPr>
          <w:rFonts w:cstheme="minorBidi"/>
          <w:sz w:val="24"/>
        </w:rPr>
        <w:tab/>
      </w:r>
      <w:r>
        <w:rPr>
          <w:rFonts w:hint="eastAsia" w:cstheme="minorBidi"/>
          <w:sz w:val="24"/>
        </w:rPr>
        <w:t>19</w:t>
      </w:r>
    </w:p>
    <w:p>
      <w:pPr>
        <w:pStyle w:val="11"/>
        <w:adjustRightInd w:val="0"/>
        <w:snapToGrid w:val="0"/>
        <w:spacing w:line="440" w:lineRule="exact"/>
        <w:jc w:val="left"/>
        <w:rPr>
          <w:sz w:val="24"/>
        </w:rPr>
      </w:pPr>
      <w:r>
        <w:rPr>
          <w:rFonts w:hint="eastAsia"/>
          <w:sz w:val="24"/>
        </w:rPr>
        <w:t>四、财政拨款收入支出决算总表</w:t>
      </w:r>
      <w:r>
        <w:rPr>
          <w:rFonts w:cstheme="minorBidi"/>
          <w:sz w:val="24"/>
        </w:rPr>
        <w:tab/>
      </w:r>
      <w:r>
        <w:rPr>
          <w:rFonts w:hint="eastAsia" w:cstheme="minorBidi"/>
          <w:sz w:val="24"/>
        </w:rPr>
        <w:t>19</w:t>
      </w:r>
    </w:p>
    <w:p>
      <w:pPr>
        <w:pStyle w:val="11"/>
        <w:adjustRightInd w:val="0"/>
        <w:snapToGrid w:val="0"/>
        <w:spacing w:line="440" w:lineRule="exact"/>
        <w:jc w:val="left"/>
        <w:rPr>
          <w:sz w:val="24"/>
        </w:rPr>
      </w:pPr>
      <w:r>
        <w:rPr>
          <w:rFonts w:hint="eastAsia"/>
          <w:sz w:val="24"/>
        </w:rPr>
        <w:t>五、财政拨款支出决算明细表</w:t>
      </w:r>
      <w:r>
        <w:rPr>
          <w:rFonts w:cstheme="minorBidi"/>
          <w:sz w:val="24"/>
        </w:rPr>
        <w:tab/>
      </w:r>
      <w:r>
        <w:rPr>
          <w:rFonts w:hint="eastAsia" w:cstheme="minorBidi"/>
          <w:sz w:val="24"/>
        </w:rPr>
        <w:t>19</w:t>
      </w:r>
    </w:p>
    <w:p>
      <w:pPr>
        <w:pStyle w:val="11"/>
        <w:adjustRightInd w:val="0"/>
        <w:snapToGrid w:val="0"/>
        <w:spacing w:line="440" w:lineRule="exact"/>
        <w:jc w:val="left"/>
        <w:rPr>
          <w:sz w:val="24"/>
        </w:rPr>
      </w:pPr>
      <w:r>
        <w:rPr>
          <w:rFonts w:hint="eastAsia"/>
          <w:sz w:val="24"/>
        </w:rPr>
        <w:t>六、一般公共预算财政拨款支出决算表</w:t>
      </w:r>
      <w:r>
        <w:rPr>
          <w:rFonts w:cstheme="minorBidi"/>
          <w:sz w:val="24"/>
        </w:rPr>
        <w:tab/>
      </w:r>
      <w:r>
        <w:rPr>
          <w:rFonts w:hint="eastAsia" w:cstheme="minorBidi"/>
          <w:sz w:val="24"/>
        </w:rPr>
        <w:t>19</w:t>
      </w:r>
    </w:p>
    <w:p>
      <w:pPr>
        <w:pStyle w:val="11"/>
        <w:adjustRightInd w:val="0"/>
        <w:snapToGrid w:val="0"/>
        <w:spacing w:line="440" w:lineRule="exact"/>
        <w:jc w:val="left"/>
        <w:rPr>
          <w:sz w:val="24"/>
        </w:rPr>
      </w:pPr>
      <w:r>
        <w:rPr>
          <w:rFonts w:hint="eastAsia"/>
          <w:sz w:val="24"/>
        </w:rPr>
        <w:t>七、一般公共预算财政拨款支出决算明细表</w:t>
      </w:r>
      <w:r>
        <w:rPr>
          <w:rFonts w:cstheme="minorBidi"/>
          <w:sz w:val="24"/>
        </w:rPr>
        <w:tab/>
      </w:r>
      <w:r>
        <w:rPr>
          <w:rFonts w:hint="eastAsia" w:cstheme="minorBidi"/>
          <w:sz w:val="24"/>
        </w:rPr>
        <w:t>19</w:t>
      </w:r>
    </w:p>
    <w:p>
      <w:pPr>
        <w:pStyle w:val="11"/>
        <w:adjustRightInd w:val="0"/>
        <w:snapToGrid w:val="0"/>
        <w:spacing w:line="440" w:lineRule="exact"/>
        <w:jc w:val="left"/>
        <w:rPr>
          <w:sz w:val="24"/>
        </w:rPr>
      </w:pPr>
      <w:r>
        <w:rPr>
          <w:rFonts w:hint="eastAsia"/>
          <w:sz w:val="24"/>
        </w:rPr>
        <w:t>八、一般公共预算财政拨款基本支出决算明细表</w:t>
      </w:r>
      <w:r>
        <w:rPr>
          <w:rFonts w:cstheme="minorBidi"/>
          <w:sz w:val="24"/>
        </w:rPr>
        <w:tab/>
      </w:r>
      <w:r>
        <w:rPr>
          <w:rFonts w:hint="eastAsia" w:cstheme="minorBidi"/>
          <w:sz w:val="24"/>
        </w:rPr>
        <w:t>19</w:t>
      </w:r>
    </w:p>
    <w:p>
      <w:pPr>
        <w:pStyle w:val="11"/>
        <w:adjustRightInd w:val="0"/>
        <w:snapToGrid w:val="0"/>
        <w:spacing w:line="440" w:lineRule="exact"/>
        <w:jc w:val="left"/>
        <w:rPr>
          <w:sz w:val="24"/>
        </w:rPr>
      </w:pPr>
      <w:r>
        <w:rPr>
          <w:rFonts w:hint="eastAsia"/>
          <w:sz w:val="24"/>
        </w:rPr>
        <w:t>九、一般公共预算财政拨款项目支出决算表</w:t>
      </w:r>
      <w:r>
        <w:rPr>
          <w:rFonts w:cstheme="minorBidi"/>
          <w:sz w:val="24"/>
        </w:rPr>
        <w:tab/>
      </w:r>
      <w:r>
        <w:rPr>
          <w:rFonts w:hint="eastAsia" w:cstheme="minorBidi"/>
          <w:sz w:val="24"/>
        </w:rPr>
        <w:t>19</w:t>
      </w:r>
    </w:p>
    <w:p>
      <w:pPr>
        <w:pStyle w:val="11"/>
        <w:adjustRightInd w:val="0"/>
        <w:snapToGrid w:val="0"/>
        <w:spacing w:line="440" w:lineRule="exact"/>
        <w:jc w:val="left"/>
        <w:rPr>
          <w:sz w:val="24"/>
        </w:rPr>
      </w:pPr>
      <w:r>
        <w:rPr>
          <w:rFonts w:hint="eastAsia"/>
          <w:sz w:val="24"/>
        </w:rPr>
        <w:t>十、政府性基金预算财政拨款收入支出决算表</w:t>
      </w:r>
      <w:r>
        <w:rPr>
          <w:rFonts w:cstheme="minorBidi"/>
          <w:sz w:val="24"/>
        </w:rPr>
        <w:tab/>
      </w:r>
      <w:r>
        <w:rPr>
          <w:rFonts w:hint="eastAsia" w:cstheme="minorBidi"/>
          <w:sz w:val="24"/>
        </w:rPr>
        <w:t>19</w:t>
      </w:r>
    </w:p>
    <w:p>
      <w:pPr>
        <w:pStyle w:val="11"/>
        <w:adjustRightInd w:val="0"/>
        <w:snapToGrid w:val="0"/>
        <w:spacing w:line="440" w:lineRule="exact"/>
        <w:jc w:val="left"/>
        <w:rPr>
          <w:sz w:val="24"/>
        </w:rPr>
      </w:pPr>
      <w:r>
        <w:rPr>
          <w:rFonts w:hint="eastAsia"/>
          <w:sz w:val="24"/>
        </w:rPr>
        <w:t>十一、国有资本经营预算财政拨款收入支出决算表</w:t>
      </w:r>
      <w:r>
        <w:rPr>
          <w:rFonts w:cstheme="minorBidi"/>
          <w:sz w:val="24"/>
        </w:rPr>
        <w:tab/>
      </w:r>
      <w:r>
        <w:rPr>
          <w:rFonts w:hint="eastAsia" w:cstheme="minorBidi"/>
          <w:sz w:val="24"/>
        </w:rPr>
        <w:t>19</w:t>
      </w:r>
    </w:p>
    <w:p>
      <w:pPr>
        <w:pStyle w:val="11"/>
        <w:adjustRightInd w:val="0"/>
        <w:snapToGrid w:val="0"/>
        <w:spacing w:line="440" w:lineRule="exact"/>
        <w:jc w:val="left"/>
        <w:rPr>
          <w:sz w:val="24"/>
        </w:rPr>
      </w:pPr>
      <w:r>
        <w:rPr>
          <w:rFonts w:hint="eastAsia"/>
          <w:sz w:val="24"/>
        </w:rPr>
        <w:t>十二、国有资本经营预算财政拨款支出决算表</w:t>
      </w:r>
      <w:r>
        <w:rPr>
          <w:rFonts w:cstheme="minorBidi"/>
          <w:sz w:val="24"/>
        </w:rPr>
        <w:tab/>
      </w:r>
      <w:r>
        <w:rPr>
          <w:rFonts w:hint="eastAsia" w:cstheme="minorBidi"/>
          <w:sz w:val="24"/>
        </w:rPr>
        <w:t>19</w:t>
      </w:r>
    </w:p>
    <w:p>
      <w:pPr>
        <w:pStyle w:val="11"/>
        <w:adjustRightInd w:val="0"/>
        <w:snapToGrid w:val="0"/>
        <w:spacing w:line="440" w:lineRule="exact"/>
        <w:jc w:val="left"/>
        <w:rPr>
          <w:sz w:val="24"/>
        </w:rPr>
      </w:pPr>
      <w:r>
        <w:rPr>
          <w:rFonts w:hint="eastAsia"/>
          <w:sz w:val="24"/>
        </w:rPr>
        <w:t>十三、财政拨款“三公”经费支出决算表</w:t>
      </w:r>
      <w:r>
        <w:rPr>
          <w:rFonts w:cstheme="minorBidi"/>
          <w:sz w:val="24"/>
        </w:rPr>
        <w:tab/>
      </w:r>
      <w:r>
        <w:rPr>
          <w:rFonts w:hint="eastAsia" w:cstheme="minorBidi"/>
          <w:sz w:val="24"/>
        </w:rPr>
        <w:t>19</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5"/>
          <w:rFonts w:ascii="黑体" w:hAnsi="黑体" w:eastAsia="黑体"/>
          <w:b w:val="0"/>
          <w:bCs w:val="0"/>
        </w:rPr>
      </w:pPr>
      <w:bookmarkStart w:id="14" w:name="_Toc15377197"/>
      <w:bookmarkStart w:id="15" w:name="_Toc15396600"/>
      <w:r>
        <w:rPr>
          <w:rStyle w:val="25"/>
          <w:rFonts w:hint="eastAsia" w:ascii="黑体" w:hAnsi="黑体" w:eastAsia="黑体"/>
          <w:b w:val="0"/>
          <w:bCs w:val="0"/>
        </w:rPr>
        <w:t>主要职责</w:t>
      </w:r>
    </w:p>
    <w:p>
      <w:pPr>
        <w:spacing w:line="576" w:lineRule="exact"/>
        <w:ind w:firstLine="640" w:firstLineChars="200"/>
        <w:rPr>
          <w:rFonts w:ascii="仿宋_GB2312" w:hAnsi="仿宋" w:eastAsia="仿宋_GB2312"/>
          <w:sz w:val="32"/>
          <w:szCs w:val="32"/>
        </w:rPr>
      </w:pPr>
      <w:r>
        <w:rPr>
          <w:rFonts w:ascii="仿宋_GB2312" w:hAnsi="仿宋" w:eastAsia="仿宋_GB2312"/>
          <w:sz w:val="32"/>
          <w:szCs w:val="32"/>
        </w:rPr>
        <w:t>政务管理局贯彻落实党中央关于政务服务工作的方针政策和省委、市委的决策部署，在履行职责过程中坚持和加强党对政务服务工作的集中统一领导。主要职责是：</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组织拟订全市政务服务、行政审批制度改革和公共资源交易管理服务发展规划、政策和措施并组织、指导实施。</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负责政务服务管理工作。指导、协调并推进全市政务服务体系建设。指导、协调和监督市级部门（单位）政务服务工作。指导、监督相关电子政务服务平台建设和运行工作。对县、区政务服务管理机构进行业务指导。</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负责指导、协调、监督并推进全市深化行政审批制度改革工作。</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负责公共资源交易服务管理工作。指导、协调并推进全市公共资源交易服务体系建设，牵头负责公共资源交易主体信用体系建设。指导、协调、监督管理公共资源交易服务工作。</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指导、协调、监督、考核进驻部门（单位）的政务服务工作，审核进驻政务服务事项，对部门（单位）独立设置的办事大厅进行业务指导和监督。</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按照省、市要求，指导、推进相对集中行政许可权改革。</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负责职责范围的安全生产和职业健康、生态环境保护、审批服务便民化等工作。</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完成市委、市政府交办的其他任务。</w:t>
      </w:r>
    </w:p>
    <w:p>
      <w:pPr>
        <w:pStyle w:val="2"/>
        <w:adjustRightInd w:val="0"/>
        <w:snapToGrid w:val="0"/>
        <w:spacing w:before="93" w:line="600" w:lineRule="exact"/>
        <w:ind w:firstLine="672" w:firstLineChars="210"/>
        <w:outlineLvl w:val="2"/>
      </w:pPr>
      <w:bookmarkStart w:id="16" w:name="_Toc112832523"/>
      <w:r>
        <w:rPr>
          <w:rFonts w:hint="eastAsia" w:hAnsi="仿宋"/>
          <w:sz w:val="32"/>
          <w:szCs w:val="32"/>
        </w:rPr>
        <w:t>9.</w:t>
      </w:r>
      <w:r>
        <w:rPr>
          <w:rFonts w:hAnsi="仿宋"/>
          <w:sz w:val="32"/>
          <w:szCs w:val="32"/>
        </w:rPr>
        <w:t>职能转变。坚持以人民为中心的发展思想，以方便企业和群众办事为目标，努力提高政务服务质量和效率。规范行政审批行为，督促落实审批事项事中事后监管措施。加快推进审批服务便民化相关举措，持续开展减证便民行动，积极推进政务服务“一网、一门、一次”改革。</w:t>
      </w:r>
      <w:bookmarkEnd w:id="16"/>
    </w:p>
    <w:p>
      <w:pPr>
        <w:pStyle w:val="4"/>
        <w:ind w:firstLine="640" w:firstLineChars="200"/>
        <w:rPr>
          <w:rFonts w:ascii="黑体" w:hAnsi="黑体" w:eastAsia="黑体"/>
          <w:b w:val="0"/>
        </w:rPr>
      </w:pPr>
      <w:r>
        <w:rPr>
          <w:rFonts w:hint="eastAsia" w:ascii="黑体" w:hAnsi="黑体" w:eastAsia="黑体"/>
          <w:b w:val="0"/>
        </w:rPr>
        <w:t>二、机构设置</w:t>
      </w:r>
    </w:p>
    <w:p>
      <w:pPr>
        <w:ind w:firstLine="640" w:firstLineChars="200"/>
        <w:rPr>
          <w:rFonts w:ascii="仿宋_GB2312" w:hAnsi="仿宋" w:eastAsia="仿宋_GB2312"/>
          <w:kern w:val="0"/>
          <w:sz w:val="32"/>
          <w:szCs w:val="32"/>
        </w:rPr>
      </w:pPr>
      <w:r>
        <w:rPr>
          <w:rFonts w:ascii="仿宋_GB2312" w:hAnsi="仿宋" w:eastAsia="仿宋_GB2312"/>
          <w:kern w:val="0"/>
          <w:sz w:val="32"/>
          <w:szCs w:val="32"/>
        </w:rPr>
        <w:t xml:space="preserve">市政务管理局设下列内设机构： </w:t>
      </w:r>
    </w:p>
    <w:p>
      <w:pPr>
        <w:numPr>
          <w:ilvl w:val="0"/>
          <w:numId w:val="2"/>
        </w:numPr>
        <w:ind w:firstLine="640" w:firstLineChars="200"/>
        <w:rPr>
          <w:rFonts w:ascii="仿宋_GB2312" w:hAnsi="仿宋" w:eastAsia="仿宋_GB2312"/>
          <w:kern w:val="0"/>
          <w:sz w:val="32"/>
          <w:szCs w:val="32"/>
        </w:rPr>
      </w:pPr>
      <w:r>
        <w:rPr>
          <w:rFonts w:ascii="仿宋_GB2312" w:hAnsi="仿宋" w:eastAsia="仿宋_GB2312"/>
          <w:kern w:val="0"/>
          <w:sz w:val="32"/>
          <w:szCs w:val="32"/>
        </w:rPr>
        <w:t xml:space="preserve">办公室。负责文电、会务、档案、机要、安全、 财务、国有资产管理等机关日常运转工作。承担保密、信 访、信息、绩效管理、政务公开、综合性文稿起草和史志 编纂工作。组织办理人大代表建议、政协委员提案。负责机关和所属事业单位党群工作。 </w:t>
      </w:r>
    </w:p>
    <w:p>
      <w:pPr>
        <w:numPr>
          <w:ilvl w:val="0"/>
          <w:numId w:val="2"/>
        </w:numPr>
        <w:ind w:firstLine="640" w:firstLineChars="200"/>
        <w:rPr>
          <w:rFonts w:ascii="仿宋_GB2312" w:hAnsi="仿宋" w:eastAsia="仿宋_GB2312"/>
          <w:kern w:val="0"/>
          <w:sz w:val="32"/>
          <w:szCs w:val="32"/>
        </w:rPr>
      </w:pPr>
      <w:r>
        <w:rPr>
          <w:rFonts w:ascii="仿宋_GB2312" w:hAnsi="仿宋" w:eastAsia="仿宋_GB2312"/>
          <w:kern w:val="0"/>
          <w:sz w:val="32"/>
          <w:szCs w:val="32"/>
        </w:rPr>
        <w:t xml:space="preserve">政务服务管理科（行政审批制度改革科）。负责 拟订政务服务政策、制度、办法和措施并组织实施。承担 全市政务服务体系建设相关工作，对进驻的政务服务事项 进行审核，对部门进驻人员进行监督和考核。牵头政务服 务目标考核相关工作。负责组织开展并联审批服务工作。 指导、监督相关电子政务服务平台建设和运行等工作。负 责政务服务信息化建设相关工作。对部门（单位）独立设 置的办事大厅进行业务指导和监督。受理并牵头组织办理 政务服务投诉。负责拟订深化行政审批制度改革的制度、 办法和措施并组织实施。指导、协调、监督并推进深化行 政审批制度改革工作, 对市级部门（单位）取消、保留或 调整的行政审批事项运行进行组织协调和监督，实施动态 管理。组织开展深化行政审批制度改革的调查研究、评估 分析。承担相对集中行政许可权改革相关工作。 </w:t>
      </w:r>
    </w:p>
    <w:p>
      <w:pPr>
        <w:ind w:firstLine="640" w:firstLineChars="200"/>
        <w:rPr>
          <w:rFonts w:ascii="仿宋_GB2312" w:hAnsi="仿宋" w:eastAsia="仿宋_GB2312"/>
          <w:kern w:val="0"/>
          <w:sz w:val="32"/>
          <w:szCs w:val="32"/>
        </w:rPr>
      </w:pPr>
      <w:r>
        <w:rPr>
          <w:rFonts w:ascii="仿宋_GB2312" w:hAnsi="仿宋" w:eastAsia="仿宋_GB2312"/>
          <w:kern w:val="0"/>
          <w:sz w:val="32"/>
          <w:szCs w:val="32"/>
        </w:rPr>
        <w:t>（三）公共资源交易管理科（监督检查科）。牵头组织 政务服务相关法律、法规、政策、措施执行情况的监督检 查工作。负责拟订公共资源交易管理服务的政策、制度、 办法和措施并组织实施。承担全市公共资源交易体系建设 相关工作。负责公共资源交易招投标活动的现场监督管理。 受理全市违反公共资源交易管理规定行为投诉并协调相关 部门按规定进行处理。</w:t>
      </w: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17" w:name="_Toc15396602"/>
      <w:bookmarkStart w:id="18" w:name="_Toc15377204"/>
      <w:r>
        <w:rPr>
          <w:rFonts w:hint="eastAsia" w:ascii="黑体" w:hAnsi="黑体" w:eastAsia="黑体"/>
          <w:b w:val="0"/>
        </w:rPr>
        <w:t>第二部分 2022年度</w:t>
      </w:r>
      <w:r>
        <w:rPr>
          <w:rStyle w:val="24"/>
          <w:rFonts w:hint="eastAsia" w:ascii="黑体" w:hAnsi="黑体" w:eastAsia="黑体"/>
          <w:b w:val="0"/>
          <w:bCs/>
        </w:rPr>
        <w:t>单位决算情况说明</w:t>
      </w:r>
      <w:bookmarkEnd w:id="17"/>
      <w:bookmarkEnd w:id="18"/>
    </w:p>
    <w:p/>
    <w:p>
      <w:pPr>
        <w:pStyle w:val="23"/>
        <w:numPr>
          <w:ilvl w:val="0"/>
          <w:numId w:val="3"/>
        </w:numPr>
        <w:spacing w:line="600" w:lineRule="exact"/>
        <w:ind w:firstLineChars="0"/>
        <w:outlineLvl w:val="1"/>
        <w:rPr>
          <w:rStyle w:val="25"/>
          <w:rFonts w:ascii="黑体" w:hAnsi="黑体" w:eastAsia="黑体"/>
          <w:b w:val="0"/>
        </w:rPr>
      </w:pPr>
      <w:bookmarkStart w:id="19" w:name="_Toc15396603"/>
      <w:bookmarkStart w:id="20"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19"/>
      <w:bookmarkEnd w:id="20"/>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2022年度收、支总计876.77万元。与2021年相比，收、支总计各减少718.87万元，下降45</w:t>
      </w:r>
      <w:r>
        <w:rPr>
          <w:rFonts w:ascii="仿宋" w:hAnsi="仿宋" w:eastAsia="仿宋"/>
          <w:sz w:val="32"/>
          <w:szCs w:val="32"/>
        </w:rPr>
        <w:t>%</w:t>
      </w:r>
      <w:r>
        <w:rPr>
          <w:rFonts w:hint="eastAsia" w:ascii="仿宋" w:hAnsi="仿宋" w:eastAsia="仿宋"/>
          <w:sz w:val="32"/>
          <w:szCs w:val="32"/>
        </w:rPr>
        <w:t>。主要变动原因是项目支出减少。</w:t>
      </w:r>
    </w:p>
    <w:p>
      <w:pPr>
        <w:pStyle w:val="2"/>
        <w:spacing w:before="93"/>
      </w:pPr>
      <w:r>
        <w:rPr>
          <w:rFonts w:hint="eastAsia"/>
        </w:rPr>
        <w:t xml:space="preserve">            </w:t>
      </w:r>
      <w:r>
        <w:drawing>
          <wp:inline distT="0" distB="0" distL="114300" distR="114300">
            <wp:extent cx="3007995" cy="1865630"/>
            <wp:effectExtent l="0" t="0" r="9525" b="8890"/>
            <wp:docPr id="2" name="图片 2" descr="1692775623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2775623457(1)"/>
                    <pic:cNvPicPr>
                      <a:picLocks noChangeAspect="1"/>
                    </pic:cNvPicPr>
                  </pic:nvPicPr>
                  <pic:blipFill>
                    <a:blip r:embed="rId10"/>
                    <a:stretch>
                      <a:fillRect/>
                    </a:stretch>
                  </pic:blipFill>
                  <pic:spPr>
                    <a:xfrm>
                      <a:off x="0" y="0"/>
                      <a:ext cx="3007995" cy="1865630"/>
                    </a:xfrm>
                    <a:prstGeom prst="rect">
                      <a:avLst/>
                    </a:prstGeom>
                  </pic:spPr>
                </pic:pic>
              </a:graphicData>
            </a:graphic>
          </wp:inline>
        </w:drawing>
      </w:r>
    </w:p>
    <w:p>
      <w:pPr>
        <w:spacing w:line="600" w:lineRule="exact"/>
        <w:ind w:firstLine="1280" w:firstLineChars="4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3"/>
        <w:numPr>
          <w:ilvl w:val="0"/>
          <w:numId w:val="3"/>
        </w:numPr>
        <w:spacing w:line="600" w:lineRule="exact"/>
        <w:ind w:firstLineChars="0"/>
        <w:outlineLvl w:val="1"/>
        <w:rPr>
          <w:rStyle w:val="25"/>
          <w:rFonts w:ascii="黑体" w:hAnsi="黑体" w:eastAsia="黑体"/>
          <w:b w:val="0"/>
        </w:rPr>
      </w:pPr>
      <w:bookmarkStart w:id="21" w:name="_Toc15396604"/>
      <w:bookmarkStart w:id="22" w:name="_Toc15377206"/>
      <w:r>
        <w:rPr>
          <w:rFonts w:hint="eastAsia" w:ascii="黑体" w:hAnsi="黑体" w:eastAsia="黑体"/>
          <w:sz w:val="32"/>
          <w:szCs w:val="32"/>
        </w:rPr>
        <w:t>收</w:t>
      </w:r>
      <w:r>
        <w:rPr>
          <w:rStyle w:val="25"/>
          <w:rFonts w:hint="eastAsia" w:ascii="黑体" w:hAnsi="黑体" w:eastAsia="黑体"/>
          <w:b w:val="0"/>
        </w:rPr>
        <w:t>入决算情况说明</w:t>
      </w:r>
      <w:bookmarkEnd w:id="21"/>
      <w:bookmarkEnd w:id="22"/>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22年本年收入合计876.77万元，其中：一般公共预算财政拨款收入876.77万元，占100</w:t>
      </w:r>
      <w:r>
        <w:rPr>
          <w:rFonts w:ascii="仿宋" w:hAnsi="仿宋" w:eastAsia="仿宋"/>
          <w:sz w:val="32"/>
          <w:szCs w:val="32"/>
        </w:rPr>
        <w:t>%</w:t>
      </w:r>
      <w:r>
        <w:rPr>
          <w:rFonts w:hint="eastAsia" w:ascii="仿宋" w:hAnsi="仿宋" w:eastAsia="仿宋"/>
          <w:sz w:val="32"/>
          <w:szCs w:val="32"/>
        </w:rPr>
        <w:t>。</w:t>
      </w:r>
    </w:p>
    <w:p>
      <w:pPr>
        <w:pStyle w:val="2"/>
        <w:spacing w:before="93"/>
        <w:rPr>
          <w:rFonts w:ascii="仿宋" w:hAnsi="仿宋" w:eastAsia="仿宋"/>
          <w:sz w:val="32"/>
          <w:szCs w:val="32"/>
        </w:rPr>
      </w:pPr>
      <w:r>
        <w:rPr>
          <w:rFonts w:hint="eastAsia" w:ascii="仿宋" w:hAnsi="仿宋" w:eastAsia="仿宋"/>
          <w:sz w:val="32"/>
          <w:szCs w:val="32"/>
        </w:rPr>
        <w:t xml:space="preserve">            </w:t>
      </w:r>
      <w:r>
        <w:drawing>
          <wp:inline distT="0" distB="0" distL="114300" distR="114300">
            <wp:extent cx="3033395" cy="2030095"/>
            <wp:effectExtent l="0" t="0" r="14605"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3033395" cy="2030095"/>
                    </a:xfrm>
                    <a:prstGeom prst="rect">
                      <a:avLst/>
                    </a:prstGeom>
                    <a:noFill/>
                    <a:ln>
                      <a:noFill/>
                    </a:ln>
                  </pic:spPr>
                </pic:pic>
              </a:graphicData>
            </a:graphic>
          </wp:inline>
        </w:drawing>
      </w:r>
    </w:p>
    <w:p>
      <w:pPr>
        <w:pStyle w:val="2"/>
        <w:spacing w:before="93"/>
        <w:rPr>
          <w:sz w:val="32"/>
          <w:szCs w:val="32"/>
        </w:rPr>
      </w:pPr>
      <w:r>
        <w:rPr>
          <w:rFonts w:hint="eastAsia" w:ascii="仿宋" w:hAnsi="仿宋" w:eastAsia="仿宋"/>
          <w:sz w:val="32"/>
          <w:szCs w:val="32"/>
        </w:rPr>
        <w:t xml:space="preserve">              （图2：收入决算结构图）</w:t>
      </w:r>
    </w:p>
    <w:p>
      <w:pPr>
        <w:pStyle w:val="23"/>
        <w:numPr>
          <w:ilvl w:val="0"/>
          <w:numId w:val="3"/>
        </w:numPr>
        <w:spacing w:line="600" w:lineRule="exact"/>
        <w:ind w:firstLineChars="0"/>
        <w:outlineLvl w:val="1"/>
        <w:rPr>
          <w:rStyle w:val="25"/>
          <w:rFonts w:ascii="黑体" w:hAnsi="黑体" w:eastAsia="黑体"/>
          <w:b w:val="0"/>
        </w:rPr>
      </w:pPr>
      <w:bookmarkStart w:id="23" w:name="_Toc15377207"/>
      <w:bookmarkStart w:id="24" w:name="_Toc15396605"/>
      <w:r>
        <w:rPr>
          <w:rFonts w:hint="eastAsia" w:ascii="黑体" w:hAnsi="黑体" w:eastAsia="黑体"/>
          <w:sz w:val="32"/>
          <w:szCs w:val="32"/>
        </w:rPr>
        <w:t>支</w:t>
      </w:r>
      <w:r>
        <w:rPr>
          <w:rStyle w:val="25"/>
          <w:rFonts w:hint="eastAsia" w:ascii="黑体" w:hAnsi="黑体" w:eastAsia="黑体"/>
          <w:b w:val="0"/>
        </w:rPr>
        <w:t>出决算情况说明</w:t>
      </w:r>
      <w:bookmarkEnd w:id="23"/>
      <w:bookmarkEnd w:id="24"/>
    </w:p>
    <w:p>
      <w:pPr>
        <w:spacing w:line="600" w:lineRule="exact"/>
        <w:ind w:firstLine="640" w:firstLineChars="200"/>
        <w:outlineLvl w:val="1"/>
      </w:pPr>
      <w:r>
        <w:rPr>
          <w:rFonts w:ascii="仿宋" w:hAnsi="仿宋" w:eastAsia="仿宋"/>
          <w:sz w:val="32"/>
          <w:szCs w:val="32"/>
        </w:rPr>
        <w:t>20</w:t>
      </w:r>
      <w:r>
        <w:rPr>
          <w:rFonts w:hint="eastAsia" w:ascii="仿宋" w:hAnsi="仿宋" w:eastAsia="仿宋"/>
          <w:sz w:val="32"/>
          <w:szCs w:val="32"/>
        </w:rPr>
        <w:t>22年本年支出合计876.77万元，其中：基本支出512.52万元，占58.46</w:t>
      </w:r>
      <w:r>
        <w:rPr>
          <w:rFonts w:ascii="仿宋" w:hAnsi="仿宋" w:eastAsia="仿宋"/>
          <w:sz w:val="32"/>
          <w:szCs w:val="32"/>
        </w:rPr>
        <w:t>%</w:t>
      </w:r>
      <w:r>
        <w:rPr>
          <w:rFonts w:hint="eastAsia" w:ascii="仿宋" w:hAnsi="仿宋" w:eastAsia="仿宋"/>
          <w:sz w:val="32"/>
          <w:szCs w:val="32"/>
        </w:rPr>
        <w:t>；项目支出364.25万元，占41.54</w:t>
      </w:r>
      <w:r>
        <w:rPr>
          <w:rFonts w:ascii="仿宋" w:hAnsi="仿宋" w:eastAsia="仿宋"/>
          <w:sz w:val="32"/>
          <w:szCs w:val="32"/>
        </w:rPr>
        <w:t>%</w:t>
      </w:r>
      <w:r>
        <w:rPr>
          <w:rFonts w:hint="eastAsia" w:ascii="仿宋" w:hAnsi="仿宋" w:eastAsia="仿宋"/>
          <w:sz w:val="32"/>
          <w:szCs w:val="32"/>
        </w:rPr>
        <w:t>。</w:t>
      </w:r>
    </w:p>
    <w:p>
      <w:pPr>
        <w:pStyle w:val="2"/>
        <w:spacing w:before="93"/>
      </w:pPr>
      <w:r>
        <w:rPr>
          <w:rFonts w:hint="eastAsia"/>
        </w:rPr>
        <w:t xml:space="preserve">           </w:t>
      </w:r>
      <w:r>
        <w:drawing>
          <wp:inline distT="0" distB="0" distL="114300" distR="114300">
            <wp:extent cx="3032760" cy="2306955"/>
            <wp:effectExtent l="0" t="0" r="0" b="9525"/>
            <wp:docPr id="11" name="图片 11" descr="1692778924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92778924187"/>
                    <pic:cNvPicPr>
                      <a:picLocks noChangeAspect="1"/>
                    </pic:cNvPicPr>
                  </pic:nvPicPr>
                  <pic:blipFill>
                    <a:blip r:embed="rId12"/>
                    <a:stretch>
                      <a:fillRect/>
                    </a:stretch>
                  </pic:blipFill>
                  <pic:spPr>
                    <a:xfrm>
                      <a:off x="0" y="0"/>
                      <a:ext cx="3032760" cy="2306955"/>
                    </a:xfrm>
                    <a:prstGeom prst="rect">
                      <a:avLst/>
                    </a:prstGeom>
                  </pic:spPr>
                </pic:pic>
              </a:graphicData>
            </a:graphic>
          </wp:inline>
        </w:drawing>
      </w:r>
    </w:p>
    <w:p>
      <w:pPr>
        <w:spacing w:line="600" w:lineRule="exact"/>
        <w:ind w:firstLine="1920" w:firstLineChars="600"/>
        <w:rPr>
          <w:rFonts w:ascii="仿宋_GB2312" w:eastAsia="仿宋_GB2312"/>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5"/>
          <w:rFonts w:ascii="黑体" w:hAnsi="黑体" w:eastAsia="黑体"/>
          <w:b w:val="0"/>
        </w:rPr>
      </w:pPr>
      <w:bookmarkStart w:id="25" w:name="_Toc15377208"/>
      <w:bookmarkStart w:id="26"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5"/>
      <w:bookmarkEnd w:id="26"/>
    </w:p>
    <w:p>
      <w:pPr>
        <w:spacing w:line="600" w:lineRule="exact"/>
        <w:ind w:firstLine="640"/>
        <w:rPr>
          <w:rFonts w:eastAsia="仿宋_GB2312"/>
        </w:rPr>
      </w:pPr>
      <w:r>
        <w:rPr>
          <w:rFonts w:ascii="仿宋" w:hAnsi="仿宋" w:eastAsia="仿宋"/>
          <w:sz w:val="32"/>
          <w:szCs w:val="32"/>
        </w:rPr>
        <w:t>20</w:t>
      </w:r>
      <w:r>
        <w:rPr>
          <w:rFonts w:hint="eastAsia" w:ascii="仿宋" w:hAnsi="仿宋" w:eastAsia="仿宋"/>
          <w:sz w:val="32"/>
          <w:szCs w:val="32"/>
        </w:rPr>
        <w:t>22年财政拨款收、支总计876.77万元。与</w:t>
      </w:r>
      <w:r>
        <w:rPr>
          <w:rFonts w:ascii="仿宋" w:hAnsi="仿宋" w:eastAsia="仿宋"/>
          <w:sz w:val="32"/>
          <w:szCs w:val="32"/>
        </w:rPr>
        <w:t>20</w:t>
      </w:r>
      <w:r>
        <w:rPr>
          <w:rFonts w:hint="eastAsia" w:ascii="仿宋" w:hAnsi="仿宋" w:eastAsia="仿宋"/>
          <w:sz w:val="32"/>
          <w:szCs w:val="32"/>
        </w:rPr>
        <w:t>21年相比，财政拨款收、支总计各减少718.87万元，下降45</w:t>
      </w:r>
      <w:r>
        <w:rPr>
          <w:rFonts w:ascii="仿宋" w:hAnsi="仿宋" w:eastAsia="仿宋"/>
          <w:sz w:val="32"/>
          <w:szCs w:val="32"/>
        </w:rPr>
        <w:t>%</w:t>
      </w:r>
      <w:r>
        <w:rPr>
          <w:rFonts w:hint="eastAsia" w:ascii="仿宋" w:hAnsi="仿宋" w:eastAsia="仿宋"/>
          <w:sz w:val="32"/>
          <w:szCs w:val="32"/>
        </w:rPr>
        <w:t>。主要变动原因是项目支出减少</w:t>
      </w:r>
    </w:p>
    <w:p>
      <w:pPr>
        <w:pStyle w:val="2"/>
        <w:spacing w:before="93"/>
      </w:pPr>
      <w:r>
        <w:rPr>
          <w:rFonts w:hint="eastAsia"/>
        </w:rPr>
        <w:t xml:space="preserve">            </w:t>
      </w:r>
      <w:r>
        <w:drawing>
          <wp:inline distT="0" distB="0" distL="114300" distR="114300">
            <wp:extent cx="2849880" cy="2703830"/>
            <wp:effectExtent l="0" t="0" r="0" b="889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3"/>
                    <a:stretch>
                      <a:fillRect/>
                    </a:stretch>
                  </pic:blipFill>
                  <pic:spPr>
                    <a:xfrm>
                      <a:off x="0" y="0"/>
                      <a:ext cx="2849880" cy="2703830"/>
                    </a:xfrm>
                    <a:prstGeom prst="rect">
                      <a:avLst/>
                    </a:prstGeom>
                    <a:noFill/>
                    <a:ln>
                      <a:noFill/>
                    </a:ln>
                  </pic:spPr>
                </pic:pic>
              </a:graphicData>
            </a:graphic>
          </wp:inline>
        </w:drawing>
      </w:r>
    </w:p>
    <w:p>
      <w:pPr>
        <w:spacing w:line="600" w:lineRule="exact"/>
        <w:ind w:firstLine="960" w:firstLineChars="300"/>
        <w:rPr>
          <w:rFonts w:ascii="仿宋" w:hAnsi="仿宋" w:eastAsia="仿宋"/>
          <w:b/>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5"/>
          <w:rFonts w:ascii="黑体" w:hAnsi="黑体" w:eastAsia="黑体"/>
          <w:b w:val="0"/>
        </w:rPr>
      </w:pPr>
      <w:bookmarkStart w:id="27" w:name="_Toc15377209"/>
      <w:bookmarkStart w:id="28"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7"/>
      <w:bookmarkEnd w:id="28"/>
    </w:p>
    <w:p>
      <w:pPr>
        <w:spacing w:line="600" w:lineRule="exact"/>
        <w:ind w:firstLine="643" w:firstLineChars="200"/>
        <w:outlineLvl w:val="2"/>
        <w:rPr>
          <w:rFonts w:ascii="仿宋" w:hAnsi="仿宋" w:eastAsia="仿宋"/>
          <w:b/>
          <w:sz w:val="32"/>
          <w:szCs w:val="32"/>
        </w:rPr>
      </w:pPr>
      <w:bookmarkStart w:id="29" w:name="_Toc15377210"/>
      <w:r>
        <w:rPr>
          <w:rFonts w:hint="eastAsia" w:ascii="仿宋" w:hAnsi="仿宋" w:eastAsia="仿宋"/>
          <w:b/>
          <w:sz w:val="32"/>
          <w:szCs w:val="32"/>
        </w:rPr>
        <w:t>（一）一般公共预算财政拨款支出决算总体情况</w:t>
      </w:r>
      <w:bookmarkEnd w:id="29"/>
    </w:p>
    <w:p>
      <w:pPr>
        <w:spacing w:line="600" w:lineRule="exact"/>
        <w:ind w:firstLine="640"/>
      </w:pPr>
      <w:r>
        <w:rPr>
          <w:rFonts w:ascii="仿宋" w:hAnsi="仿宋" w:eastAsia="仿宋"/>
          <w:sz w:val="32"/>
          <w:szCs w:val="32"/>
        </w:rPr>
        <w:t>20</w:t>
      </w:r>
      <w:r>
        <w:rPr>
          <w:rFonts w:hint="eastAsia" w:ascii="仿宋" w:hAnsi="仿宋" w:eastAsia="仿宋"/>
          <w:sz w:val="32"/>
          <w:szCs w:val="32"/>
        </w:rPr>
        <w:t>22年一般公共预算财政拨款支出876.77万元，占本年支出合计的100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21年相比，一般公共预算财政拨款支出718.87万元，下降45</w:t>
      </w:r>
      <w:r>
        <w:rPr>
          <w:rFonts w:ascii="仿宋" w:hAnsi="仿宋" w:eastAsia="仿宋"/>
          <w:sz w:val="32"/>
          <w:szCs w:val="32"/>
        </w:rPr>
        <w:t>%</w:t>
      </w:r>
      <w:r>
        <w:rPr>
          <w:rFonts w:hint="eastAsia" w:ascii="仿宋" w:hAnsi="仿宋" w:eastAsia="仿宋"/>
          <w:sz w:val="32"/>
          <w:szCs w:val="32"/>
        </w:rPr>
        <w:t>。主要变动原因是项目支出减少。</w:t>
      </w:r>
    </w:p>
    <w:p>
      <w:pPr>
        <w:pStyle w:val="2"/>
        <w:spacing w:before="93"/>
      </w:pPr>
      <w:r>
        <w:rPr>
          <w:rFonts w:hint="eastAsia"/>
        </w:rPr>
        <w:t xml:space="preserve">                 </w:t>
      </w:r>
      <w:r>
        <w:drawing>
          <wp:inline distT="0" distB="0" distL="114300" distR="114300">
            <wp:extent cx="2366010" cy="1803400"/>
            <wp:effectExtent l="0" t="0" r="11430" b="1016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4"/>
                    <a:stretch>
                      <a:fillRect/>
                    </a:stretch>
                  </pic:blipFill>
                  <pic:spPr>
                    <a:xfrm>
                      <a:off x="0" y="0"/>
                      <a:ext cx="2366010" cy="1803400"/>
                    </a:xfrm>
                    <a:prstGeom prst="rect">
                      <a:avLst/>
                    </a:prstGeom>
                    <a:noFill/>
                    <a:ln>
                      <a:noFill/>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30" w:name="_Toc15377211"/>
      <w:r>
        <w:rPr>
          <w:rFonts w:hint="eastAsia" w:ascii="仿宋" w:hAnsi="仿宋" w:eastAsia="仿宋"/>
          <w:b/>
          <w:sz w:val="32"/>
          <w:szCs w:val="32"/>
        </w:rPr>
        <w:t>（二）一般公共预算财政拨款支出决算结构情况</w:t>
      </w:r>
      <w:bookmarkEnd w:id="3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22年一般公共预算财政拨款支出876.77万元，主要用于以下方面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780.42万元，占89.01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35.16万元，占4.01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城乡社区支出</w:t>
      </w:r>
      <w:r>
        <w:rPr>
          <w:rFonts w:hint="eastAsia" w:ascii="仿宋" w:hAnsi="仿宋" w:eastAsia="仿宋"/>
          <w:sz w:val="32"/>
          <w:szCs w:val="32"/>
        </w:rPr>
        <w:t>20万元，占2.28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41.19万元，占4.7</w:t>
      </w:r>
      <w:r>
        <w:rPr>
          <w:rFonts w:ascii="仿宋" w:hAnsi="仿宋" w:eastAsia="仿宋"/>
          <w:sz w:val="32"/>
          <w:szCs w:val="32"/>
        </w:rPr>
        <w:t>%</w:t>
      </w:r>
      <w:r>
        <w:rPr>
          <w:rFonts w:hint="eastAsia" w:ascii="仿宋" w:hAnsi="仿宋" w:eastAsia="仿宋"/>
          <w:sz w:val="32"/>
          <w:szCs w:val="32"/>
        </w:rPr>
        <w:t>。</w:t>
      </w:r>
    </w:p>
    <w:p>
      <w:pPr>
        <w:pStyle w:val="2"/>
        <w:spacing w:before="93"/>
        <w:ind w:left="1600" w:hanging="1600" w:hangingChars="5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rPr>
        <w:drawing>
          <wp:inline distT="0" distB="0" distL="114300" distR="114300">
            <wp:extent cx="2647950" cy="1715135"/>
            <wp:effectExtent l="0" t="0" r="3810" b="6985"/>
            <wp:docPr id="12" name="图片 12" descr="169277955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92779552611"/>
                    <pic:cNvPicPr>
                      <a:picLocks noChangeAspect="1"/>
                    </pic:cNvPicPr>
                  </pic:nvPicPr>
                  <pic:blipFill>
                    <a:blip r:embed="rId15"/>
                    <a:stretch>
                      <a:fillRect/>
                    </a:stretch>
                  </pic:blipFill>
                  <pic:spPr>
                    <a:xfrm>
                      <a:off x="0" y="0"/>
                      <a:ext cx="2647950" cy="1715135"/>
                    </a:xfrm>
                    <a:prstGeom prst="rect">
                      <a:avLst/>
                    </a:prstGeom>
                  </pic:spPr>
                </pic:pic>
              </a:graphicData>
            </a:graphic>
          </wp:inline>
        </w:drawing>
      </w:r>
      <w:r>
        <w:rPr>
          <w:rFonts w:hint="eastAsia" w:ascii="仿宋" w:hAnsi="仿宋" w:eastAsia="仿宋"/>
          <w:sz w:val="32"/>
          <w:szCs w:val="32"/>
        </w:rPr>
        <w:t xml:space="preserve">       </w:t>
      </w:r>
    </w:p>
    <w:p>
      <w:pPr>
        <w:pStyle w:val="2"/>
        <w:spacing w:before="93"/>
        <w:ind w:firstLine="1280" w:firstLineChars="4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31" w:name="_Toc15377212"/>
      <w:r>
        <w:rPr>
          <w:rFonts w:hint="eastAsia" w:ascii="仿宋" w:hAnsi="仿宋" w:eastAsia="仿宋"/>
          <w:b/>
          <w:sz w:val="32"/>
          <w:szCs w:val="32"/>
        </w:rPr>
        <w:t>（三）一般公共预算财政拨款支出决算具体情况</w:t>
      </w:r>
      <w:bookmarkEnd w:id="31"/>
    </w:p>
    <w:p>
      <w:pPr>
        <w:spacing w:line="600" w:lineRule="exact"/>
        <w:ind w:firstLine="643" w:firstLineChars="200"/>
        <w:outlineLvl w:val="2"/>
        <w:rPr>
          <w:rFonts w:ascii="仿宋" w:hAnsi="仿宋" w:eastAsia="仿宋"/>
          <w:sz w:val="32"/>
          <w:szCs w:val="32"/>
        </w:rPr>
      </w:pPr>
      <w:bookmarkStart w:id="32" w:name="_Toc15377213"/>
      <w:bookmarkStart w:id="33" w:name="_Toc15377444"/>
      <w:bookmarkStart w:id="34" w:name="_Toc15378460"/>
      <w:r>
        <w:rPr>
          <w:rFonts w:hint="eastAsia" w:ascii="仿宋" w:hAnsi="仿宋" w:eastAsia="仿宋"/>
          <w:b/>
          <w:sz w:val="32"/>
          <w:szCs w:val="32"/>
        </w:rPr>
        <w:t>2022年一般公共预算支出决算数为</w:t>
      </w:r>
      <w:r>
        <w:rPr>
          <w:rFonts w:hint="eastAsia" w:ascii="仿宋" w:hAnsi="仿宋" w:eastAsia="仿宋"/>
          <w:sz w:val="32"/>
          <w:szCs w:val="32"/>
        </w:rPr>
        <w:t>876.77万元，</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2"/>
      <w:bookmarkEnd w:id="33"/>
      <w:bookmarkEnd w:id="34"/>
    </w:p>
    <w:p>
      <w:pPr>
        <w:numPr>
          <w:ilvl w:val="0"/>
          <w:numId w:val="4"/>
        </w:num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color w:val="000000"/>
          <w:sz w:val="32"/>
          <w:szCs w:val="32"/>
        </w:rPr>
        <w:t>一般公共服务201（类）03（款）01（项）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Fonts w:hint="eastAsia" w:ascii="仿宋" w:hAnsi="仿宋" w:eastAsia="仿宋"/>
          <w:sz w:val="32"/>
          <w:szCs w:val="32"/>
        </w:rPr>
        <w:t>303.93</w:t>
      </w:r>
      <w:r>
        <w:rPr>
          <w:rStyle w:val="14"/>
          <w:rFonts w:hint="eastAsia" w:ascii="仿宋" w:hAnsi="仿宋" w:eastAsia="仿宋"/>
          <w:b w:val="0"/>
          <w:bCs/>
          <w:sz w:val="32"/>
          <w:szCs w:val="32"/>
        </w:rPr>
        <w:t>万元，完成预算 100</w:t>
      </w:r>
      <w:r>
        <w:rPr>
          <w:rFonts w:ascii="仿宋" w:hAnsi="仿宋" w:eastAsia="仿宋"/>
          <w:sz w:val="32"/>
          <w:szCs w:val="32"/>
        </w:rPr>
        <w:t>%</w:t>
      </w:r>
      <w:r>
        <w:rPr>
          <w:rStyle w:val="14"/>
          <w:rFonts w:hint="eastAsia" w:ascii="仿宋" w:hAnsi="仿宋" w:eastAsia="仿宋"/>
          <w:b w:val="0"/>
          <w:bCs/>
          <w:sz w:val="32"/>
          <w:szCs w:val="32"/>
        </w:rPr>
        <w:t>。</w:t>
      </w:r>
    </w:p>
    <w:p>
      <w:pPr>
        <w:numPr>
          <w:ilvl w:val="0"/>
          <w:numId w:val="4"/>
        </w:num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color w:val="000000"/>
          <w:sz w:val="32"/>
          <w:szCs w:val="32"/>
        </w:rPr>
        <w:t>一般公共服务201（类）03（款）02（项）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Fonts w:hint="eastAsia" w:ascii="仿宋" w:hAnsi="仿宋" w:eastAsia="仿宋"/>
          <w:sz w:val="32"/>
          <w:szCs w:val="32"/>
        </w:rPr>
        <w:t>344.25</w:t>
      </w:r>
      <w:r>
        <w:rPr>
          <w:rStyle w:val="14"/>
          <w:rFonts w:hint="eastAsia" w:ascii="仿宋" w:hAnsi="仿宋" w:eastAsia="仿宋"/>
          <w:b w:val="0"/>
          <w:bCs/>
          <w:sz w:val="32"/>
          <w:szCs w:val="32"/>
        </w:rPr>
        <w:t>万元，完成预算100</w:t>
      </w:r>
      <w:r>
        <w:rPr>
          <w:rFonts w:ascii="仿宋" w:hAnsi="仿宋" w:eastAsia="仿宋"/>
          <w:sz w:val="32"/>
          <w:szCs w:val="32"/>
        </w:rPr>
        <w:t>%</w:t>
      </w:r>
      <w:r>
        <w:rPr>
          <w:rStyle w:val="14"/>
          <w:rFonts w:hint="eastAsia" w:ascii="仿宋" w:hAnsi="仿宋" w:eastAsia="仿宋"/>
          <w:b w:val="0"/>
          <w:bCs/>
          <w:sz w:val="32"/>
          <w:szCs w:val="32"/>
        </w:rPr>
        <w:t>。</w:t>
      </w:r>
    </w:p>
    <w:p>
      <w:pPr>
        <w:numPr>
          <w:ilvl w:val="0"/>
          <w:numId w:val="4"/>
        </w:num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color w:val="000000"/>
          <w:sz w:val="32"/>
          <w:szCs w:val="32"/>
        </w:rPr>
        <w:t>一般公共服务201（类）03（款）50（项）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Fonts w:hint="eastAsia" w:ascii="仿宋" w:hAnsi="仿宋" w:eastAsia="仿宋"/>
          <w:sz w:val="32"/>
          <w:szCs w:val="32"/>
        </w:rPr>
        <w:t>99.98</w:t>
      </w:r>
      <w:r>
        <w:rPr>
          <w:rStyle w:val="14"/>
          <w:rFonts w:hint="eastAsia" w:ascii="仿宋" w:hAnsi="仿宋" w:eastAsia="仿宋"/>
          <w:b w:val="0"/>
          <w:bCs/>
          <w:sz w:val="32"/>
          <w:szCs w:val="32"/>
        </w:rPr>
        <w:t>万元，完成预算100</w:t>
      </w:r>
      <w:r>
        <w:rPr>
          <w:rFonts w:ascii="仿宋" w:hAnsi="仿宋" w:eastAsia="仿宋"/>
          <w:sz w:val="32"/>
          <w:szCs w:val="32"/>
        </w:rPr>
        <w:t>%</w:t>
      </w:r>
      <w:r>
        <w:rPr>
          <w:rStyle w:val="14"/>
          <w:rFonts w:hint="eastAsia" w:ascii="仿宋" w:hAnsi="仿宋" w:eastAsia="仿宋"/>
          <w:b w:val="0"/>
          <w:bCs/>
          <w:sz w:val="32"/>
          <w:szCs w:val="32"/>
        </w:rPr>
        <w:t>。</w:t>
      </w:r>
    </w:p>
    <w:p>
      <w:pPr>
        <w:numPr>
          <w:ilvl w:val="0"/>
          <w:numId w:val="4"/>
        </w:num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color w:val="000000"/>
          <w:sz w:val="32"/>
          <w:szCs w:val="32"/>
        </w:rPr>
        <w:t>一般公共服务201（类）03（款）99（项）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Fonts w:hint="eastAsia" w:ascii="仿宋" w:hAnsi="仿宋" w:eastAsia="仿宋"/>
          <w:sz w:val="32"/>
          <w:szCs w:val="32"/>
        </w:rPr>
        <w:t>5.27</w:t>
      </w:r>
      <w:r>
        <w:rPr>
          <w:rStyle w:val="14"/>
          <w:rFonts w:hint="eastAsia" w:ascii="仿宋" w:hAnsi="仿宋" w:eastAsia="仿宋"/>
          <w:b w:val="0"/>
          <w:bCs/>
          <w:sz w:val="32"/>
          <w:szCs w:val="32"/>
        </w:rPr>
        <w:t>万元，完成预算100</w:t>
      </w:r>
      <w:r>
        <w:rPr>
          <w:rFonts w:ascii="仿宋" w:hAnsi="仿宋" w:eastAsia="仿宋"/>
          <w:sz w:val="32"/>
          <w:szCs w:val="32"/>
        </w:rPr>
        <w:t>%</w:t>
      </w:r>
      <w:r>
        <w:rPr>
          <w:rStyle w:val="14"/>
          <w:rFonts w:hint="eastAsia" w:ascii="仿宋" w:hAnsi="仿宋" w:eastAsia="仿宋"/>
          <w:b w:val="0"/>
          <w:bCs/>
          <w:sz w:val="32"/>
          <w:szCs w:val="32"/>
        </w:rPr>
        <w:t>。</w:t>
      </w:r>
    </w:p>
    <w:p>
      <w:pPr>
        <w:numPr>
          <w:ilvl w:val="0"/>
          <w:numId w:val="4"/>
        </w:num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color w:val="000000"/>
          <w:sz w:val="32"/>
          <w:szCs w:val="32"/>
        </w:rPr>
        <w:t>一般公共服务208（类）05（款）01（项）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Fonts w:hint="eastAsia" w:ascii="仿宋" w:hAnsi="仿宋" w:eastAsia="仿宋"/>
          <w:sz w:val="32"/>
          <w:szCs w:val="32"/>
        </w:rPr>
        <w:t>2.82</w:t>
      </w:r>
      <w:r>
        <w:rPr>
          <w:rStyle w:val="14"/>
          <w:rFonts w:hint="eastAsia" w:ascii="仿宋" w:hAnsi="仿宋" w:eastAsia="仿宋"/>
          <w:b w:val="0"/>
          <w:bCs/>
          <w:sz w:val="32"/>
          <w:szCs w:val="32"/>
        </w:rPr>
        <w:t>万元，完成预算100</w:t>
      </w:r>
      <w:r>
        <w:rPr>
          <w:rFonts w:ascii="仿宋" w:hAnsi="仿宋" w:eastAsia="仿宋"/>
          <w:sz w:val="32"/>
          <w:szCs w:val="32"/>
        </w:rPr>
        <w:t>%</w:t>
      </w:r>
      <w:r>
        <w:rPr>
          <w:rStyle w:val="14"/>
          <w:rFonts w:hint="eastAsia" w:ascii="仿宋" w:hAnsi="仿宋" w:eastAsia="仿宋"/>
          <w:b w:val="0"/>
          <w:bCs/>
          <w:sz w:val="32"/>
          <w:szCs w:val="32"/>
        </w:rPr>
        <w:t>。</w:t>
      </w:r>
    </w:p>
    <w:p>
      <w:pPr>
        <w:numPr>
          <w:ilvl w:val="0"/>
          <w:numId w:val="4"/>
        </w:num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color w:val="000000"/>
          <w:sz w:val="32"/>
          <w:szCs w:val="32"/>
        </w:rPr>
        <w:t>一般公共服务208（类）05（款）05（项）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Fonts w:hint="eastAsia" w:ascii="仿宋" w:hAnsi="仿宋" w:eastAsia="仿宋"/>
          <w:sz w:val="32"/>
          <w:szCs w:val="32"/>
        </w:rPr>
        <w:t>32.34</w:t>
      </w:r>
      <w:r>
        <w:rPr>
          <w:rStyle w:val="14"/>
          <w:rFonts w:hint="eastAsia" w:ascii="仿宋" w:hAnsi="仿宋" w:eastAsia="仿宋"/>
          <w:b w:val="0"/>
          <w:bCs/>
          <w:sz w:val="32"/>
          <w:szCs w:val="32"/>
        </w:rPr>
        <w:t>万元，完成预算 100</w:t>
      </w:r>
      <w:r>
        <w:rPr>
          <w:rFonts w:ascii="仿宋" w:hAnsi="仿宋" w:eastAsia="仿宋"/>
          <w:sz w:val="32"/>
          <w:szCs w:val="32"/>
        </w:rPr>
        <w:t>%</w:t>
      </w:r>
      <w:r>
        <w:rPr>
          <w:rStyle w:val="14"/>
          <w:rFonts w:hint="eastAsia" w:ascii="仿宋" w:hAnsi="仿宋" w:eastAsia="仿宋"/>
          <w:b w:val="0"/>
          <w:bCs/>
          <w:sz w:val="32"/>
          <w:szCs w:val="32"/>
        </w:rPr>
        <w:t>。</w:t>
      </w:r>
    </w:p>
    <w:p>
      <w:pPr>
        <w:numPr>
          <w:ilvl w:val="0"/>
          <w:numId w:val="4"/>
        </w:num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color w:val="000000"/>
          <w:sz w:val="32"/>
          <w:szCs w:val="32"/>
        </w:rPr>
        <w:t>一般公共服务212（类）03（款）99（项）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Fonts w:hint="eastAsia" w:ascii="仿宋" w:hAnsi="仿宋" w:eastAsia="仿宋"/>
          <w:sz w:val="32"/>
          <w:szCs w:val="32"/>
        </w:rPr>
        <w:t>20</w:t>
      </w:r>
      <w:r>
        <w:rPr>
          <w:rStyle w:val="14"/>
          <w:rFonts w:hint="eastAsia" w:ascii="仿宋" w:hAnsi="仿宋" w:eastAsia="仿宋"/>
          <w:b w:val="0"/>
          <w:bCs/>
          <w:sz w:val="32"/>
          <w:szCs w:val="32"/>
        </w:rPr>
        <w:t>万元，完成预算 100</w:t>
      </w:r>
      <w:r>
        <w:rPr>
          <w:rFonts w:ascii="仿宋" w:hAnsi="仿宋" w:eastAsia="仿宋"/>
          <w:sz w:val="32"/>
          <w:szCs w:val="32"/>
        </w:rPr>
        <w:t>%</w:t>
      </w:r>
      <w:r>
        <w:rPr>
          <w:rStyle w:val="14"/>
          <w:rFonts w:hint="eastAsia" w:ascii="仿宋" w:hAnsi="仿宋" w:eastAsia="仿宋"/>
          <w:b w:val="0"/>
          <w:bCs/>
          <w:sz w:val="32"/>
          <w:szCs w:val="32"/>
        </w:rPr>
        <w:t>。</w:t>
      </w:r>
    </w:p>
    <w:p>
      <w:pPr>
        <w:numPr>
          <w:ilvl w:val="0"/>
          <w:numId w:val="4"/>
        </w:numPr>
        <w:spacing w:line="600" w:lineRule="exact"/>
        <w:ind w:firstLine="643" w:firstLineChars="200"/>
        <w:rPr>
          <w:rFonts w:ascii="仿宋" w:hAnsi="仿宋" w:eastAsia="仿宋"/>
          <w:b/>
          <w:sz w:val="32"/>
          <w:szCs w:val="32"/>
        </w:rPr>
      </w:pPr>
      <w:r>
        <w:rPr>
          <w:rStyle w:val="14"/>
          <w:rFonts w:hint="eastAsia" w:ascii="仿宋" w:hAnsi="仿宋" w:eastAsia="仿宋"/>
          <w:bCs/>
          <w:color w:val="000000"/>
          <w:sz w:val="32"/>
          <w:szCs w:val="32"/>
        </w:rPr>
        <w:t>一般公共服务221（类）02（款）01（项）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Fonts w:hint="eastAsia" w:ascii="仿宋" w:hAnsi="仿宋" w:eastAsia="仿宋"/>
          <w:sz w:val="32"/>
          <w:szCs w:val="32"/>
        </w:rPr>
        <w:t>41.19</w:t>
      </w:r>
      <w:r>
        <w:rPr>
          <w:rStyle w:val="14"/>
          <w:rFonts w:hint="eastAsia" w:ascii="仿宋" w:hAnsi="仿宋" w:eastAsia="仿宋"/>
          <w:b w:val="0"/>
          <w:bCs/>
          <w:sz w:val="32"/>
          <w:szCs w:val="32"/>
        </w:rPr>
        <w:t>万元，完成预算 100</w:t>
      </w:r>
      <w:r>
        <w:rPr>
          <w:rFonts w:ascii="仿宋" w:hAnsi="仿宋" w:eastAsia="仿宋"/>
          <w:sz w:val="32"/>
          <w:szCs w:val="32"/>
        </w:rPr>
        <w:t>%</w:t>
      </w:r>
      <w:r>
        <w:rPr>
          <w:rStyle w:val="14"/>
          <w:rFonts w:hint="eastAsia" w:ascii="仿宋" w:hAnsi="仿宋" w:eastAsia="仿宋"/>
          <w:b w:val="0"/>
          <w:bCs/>
          <w:sz w:val="32"/>
          <w:szCs w:val="32"/>
        </w:rPr>
        <w:t>。</w:t>
      </w:r>
    </w:p>
    <w:p>
      <w:pPr>
        <w:tabs>
          <w:tab w:val="right" w:pos="8306"/>
        </w:tabs>
        <w:spacing w:line="600" w:lineRule="exact"/>
        <w:ind w:firstLine="640"/>
        <w:outlineLvl w:val="1"/>
        <w:rPr>
          <w:rStyle w:val="25"/>
        </w:rPr>
      </w:pPr>
      <w:bookmarkStart w:id="35" w:name="_Toc15396608"/>
      <w:bookmarkStart w:id="36"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5"/>
      <w:bookmarkEnd w:id="36"/>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22年一般公共预算财政拨款基本支出512.52万元，其中：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459.06万元，主要包括：基本工资、津贴补贴、奖金、伙食补助费、绩效工资、机关事业单位基本养老保险缴费、职业年金缴费、其他社会保障缴费、其他工资福利支出、退休费、生活补助、医疗费补助、住房公积金。　　</w:t>
      </w:r>
    </w:p>
    <w:p>
      <w:pPr>
        <w:spacing w:line="600" w:lineRule="exact"/>
        <w:ind w:firstLine="645"/>
        <w:rPr>
          <w:rFonts w:ascii="仿宋" w:hAnsi="仿宋" w:eastAsia="仿宋"/>
          <w:b/>
          <w:sz w:val="32"/>
          <w:szCs w:val="32"/>
        </w:rPr>
      </w:pPr>
      <w:r>
        <w:rPr>
          <w:rFonts w:hint="eastAsia" w:ascii="仿宋" w:hAnsi="仿宋" w:eastAsia="仿宋"/>
          <w:sz w:val="32"/>
          <w:szCs w:val="32"/>
        </w:rPr>
        <w:t>公用经费53.46万元，主要包括：办公费、水费、电费、邮电费、差旅费、会议费、公务接待费、劳务费、工会经费、福利费、公务用车运行维护费、其他交通费、其他商品和服务支出。</w:t>
      </w:r>
    </w:p>
    <w:p>
      <w:pPr>
        <w:spacing w:line="600" w:lineRule="exact"/>
        <w:ind w:firstLine="640"/>
        <w:outlineLvl w:val="1"/>
        <w:rPr>
          <w:rStyle w:val="25"/>
          <w:rFonts w:ascii="黑体" w:hAnsi="黑体" w:eastAsia="黑体"/>
          <w:b w:val="0"/>
        </w:rPr>
      </w:pPr>
      <w:bookmarkStart w:id="37" w:name="_Toc15396609"/>
      <w:bookmarkStart w:id="38"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7"/>
      <w:bookmarkEnd w:id="38"/>
    </w:p>
    <w:p>
      <w:pPr>
        <w:spacing w:line="600" w:lineRule="exact"/>
        <w:ind w:firstLine="640"/>
        <w:outlineLvl w:val="2"/>
        <w:rPr>
          <w:rFonts w:ascii="仿宋" w:hAnsi="仿宋" w:eastAsia="仿宋"/>
          <w:b/>
          <w:sz w:val="32"/>
          <w:szCs w:val="32"/>
        </w:rPr>
      </w:pPr>
      <w:bookmarkStart w:id="39" w:name="_Toc15377216"/>
      <w:r>
        <w:rPr>
          <w:rFonts w:hint="eastAsia" w:ascii="仿宋" w:hAnsi="仿宋" w:eastAsia="仿宋"/>
          <w:b/>
          <w:sz w:val="32"/>
          <w:szCs w:val="32"/>
        </w:rPr>
        <w:t>（一）“三公”经费财政拨款支出决算总体情况说明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22年“三公”经费财政拨款支出决算1.9万元，完成预算85.97</w:t>
      </w:r>
      <w:r>
        <w:rPr>
          <w:rFonts w:ascii="仿宋" w:hAnsi="仿宋" w:eastAsia="仿宋"/>
          <w:sz w:val="32"/>
          <w:szCs w:val="32"/>
        </w:rPr>
        <w:t>%</w:t>
      </w:r>
      <w:r>
        <w:rPr>
          <w:rFonts w:hint="eastAsia" w:ascii="仿宋" w:hAnsi="仿宋" w:eastAsia="仿宋"/>
          <w:sz w:val="32"/>
          <w:szCs w:val="32"/>
        </w:rPr>
        <w:t>，较上年减少16.06万元，下降89.42%。决算数小于预算数的主要原因是单位厉行节俭，根据工作实际严控三公经费。</w:t>
      </w:r>
    </w:p>
    <w:p>
      <w:pPr>
        <w:spacing w:line="600" w:lineRule="exact"/>
        <w:ind w:firstLine="640"/>
        <w:outlineLvl w:val="2"/>
        <w:rPr>
          <w:rFonts w:ascii="仿宋" w:hAnsi="仿宋" w:eastAsia="仿宋"/>
          <w:b/>
          <w:sz w:val="32"/>
          <w:szCs w:val="32"/>
        </w:rPr>
      </w:pPr>
      <w:bookmarkStart w:id="40" w:name="_Toc15377217"/>
      <w:r>
        <w:rPr>
          <w:rFonts w:hint="eastAsia" w:ascii="仿宋" w:hAnsi="仿宋" w:eastAsia="仿宋"/>
          <w:b/>
          <w:sz w:val="32"/>
          <w:szCs w:val="32"/>
        </w:rPr>
        <w:t>（二）“三公”经费财政拨款支出决算具体情况说明</w:t>
      </w:r>
      <w:bookmarkEnd w:id="4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；公务用车购置及运行维护费支出决算1.55万元，占81.15</w:t>
      </w:r>
      <w:r>
        <w:rPr>
          <w:rFonts w:ascii="仿宋" w:hAnsi="仿宋" w:eastAsia="仿宋"/>
          <w:sz w:val="32"/>
          <w:szCs w:val="32"/>
        </w:rPr>
        <w:t>%</w:t>
      </w:r>
      <w:r>
        <w:rPr>
          <w:rFonts w:hint="eastAsia" w:ascii="仿宋" w:hAnsi="仿宋" w:eastAsia="仿宋"/>
          <w:sz w:val="32"/>
          <w:szCs w:val="32"/>
        </w:rPr>
        <w:t>；公务接待费支出决算0.36万元，占18.85</w:t>
      </w:r>
      <w:r>
        <w:rPr>
          <w:rFonts w:ascii="仿宋" w:hAnsi="仿宋" w:eastAsia="仿宋"/>
          <w:sz w:val="32"/>
          <w:szCs w:val="32"/>
        </w:rPr>
        <w:t>%</w:t>
      </w:r>
      <w:r>
        <w:rPr>
          <w:rFonts w:hint="eastAsia" w:ascii="仿宋" w:hAnsi="仿宋" w:eastAsia="仿宋"/>
          <w:sz w:val="32"/>
          <w:szCs w:val="32"/>
        </w:rPr>
        <w:t>。具体情况如下：</w:t>
      </w:r>
    </w:p>
    <w:p>
      <w:pPr>
        <w:pStyle w:val="2"/>
        <w:spacing w:before="93"/>
      </w:pPr>
      <w:r>
        <w:rPr>
          <w:rFonts w:hint="eastAsia"/>
        </w:rPr>
        <w:t xml:space="preserve">              </w:t>
      </w:r>
      <w:r>
        <w:rPr>
          <w:rFonts w:hint="eastAsia"/>
        </w:rPr>
        <w:drawing>
          <wp:inline distT="0" distB="0" distL="114300" distR="114300">
            <wp:extent cx="2827655" cy="1699260"/>
            <wp:effectExtent l="0" t="0" r="6985" b="7620"/>
            <wp:docPr id="1" name="图片 1" descr="1692843544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2843544234"/>
                    <pic:cNvPicPr>
                      <a:picLocks noChangeAspect="1"/>
                    </pic:cNvPicPr>
                  </pic:nvPicPr>
                  <pic:blipFill>
                    <a:blip r:embed="rId16"/>
                    <a:stretch>
                      <a:fillRect/>
                    </a:stretch>
                  </pic:blipFill>
                  <pic:spPr>
                    <a:xfrm>
                      <a:off x="0" y="0"/>
                      <a:ext cx="2827655" cy="1699260"/>
                    </a:xfrm>
                    <a:prstGeom prst="rect">
                      <a:avLst/>
                    </a:prstGeom>
                  </pic:spPr>
                </pic:pic>
              </a:graphicData>
            </a:graphic>
          </wp:inline>
        </w:drawing>
      </w:r>
    </w:p>
    <w:p>
      <w:pPr>
        <w:spacing w:line="600" w:lineRule="exact"/>
        <w:ind w:firstLine="1280" w:firstLineChars="400"/>
        <w:rPr>
          <w:rFonts w:ascii="仿宋" w:hAnsi="仿宋" w:eastAsia="仿宋"/>
          <w:sz w:val="32"/>
          <w:szCs w:val="32"/>
        </w:rPr>
      </w:pPr>
      <w:r>
        <w:rPr>
          <w:rFonts w:hint="eastAsia" w:ascii="仿宋" w:hAnsi="仿宋" w:eastAsia="仿宋"/>
          <w:sz w:val="32"/>
          <w:szCs w:val="32"/>
        </w:rPr>
        <w:t xml:space="preserve">（图7：“三公”经费财政拨款支出结构） </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21年持平，主要是未安排因公出国（境）。</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1.55万元,</w:t>
      </w:r>
      <w:r>
        <w:rPr>
          <w:rStyle w:val="14"/>
          <w:rFonts w:hint="eastAsia" w:ascii="仿宋" w:hAnsi="仿宋" w:eastAsia="仿宋"/>
          <w:b w:val="0"/>
          <w:bCs/>
          <w:sz w:val="32"/>
          <w:szCs w:val="32"/>
        </w:rPr>
        <w:t>完成预算95.68</w:t>
      </w:r>
      <w:r>
        <w:rPr>
          <w:rStyle w:val="14"/>
          <w:rFonts w:ascii="仿宋" w:hAnsi="仿宋" w:eastAsia="仿宋"/>
          <w:b w:val="0"/>
          <w:bCs/>
          <w:sz w:val="32"/>
          <w:szCs w:val="32"/>
        </w:rPr>
        <w:t>%</w:t>
      </w:r>
      <w:r>
        <w:rPr>
          <w:rStyle w:val="14"/>
          <w:rFonts w:hint="eastAsia" w:ascii="仿宋" w:hAnsi="仿宋" w:eastAsia="仿宋"/>
          <w:b w:val="0"/>
          <w:bCs/>
          <w:sz w:val="32"/>
          <w:szCs w:val="32"/>
          <w:lang w:eastAsia="zh-CN"/>
        </w:rPr>
        <w:t>，</w:t>
      </w:r>
      <w:bookmarkStart w:id="68" w:name="_GoBack"/>
      <w:bookmarkEnd w:id="68"/>
      <w:r>
        <w:rPr>
          <w:rFonts w:hint="eastAsia" w:ascii="仿宋_GB2312" w:eastAsia="仿宋_GB2312"/>
          <w:sz w:val="32"/>
          <w:szCs w:val="32"/>
        </w:rPr>
        <w:t>2022年此项经费均是支付公务用车运行维护。</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月底，单位共有公务用车1辆，其中：轿车1辆、越野车0辆、载客汽车0辆。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1.55万元。主要用于送政策上门、生育周期一件事代办，“三化建设”等工作所需的公务用车燃料费、维修费、过路过桥费、保险费等支出。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0.36万元，</w:t>
      </w:r>
      <w:r>
        <w:rPr>
          <w:rStyle w:val="14"/>
          <w:rFonts w:hint="eastAsia" w:ascii="仿宋" w:hAnsi="仿宋" w:eastAsia="仿宋"/>
          <w:b w:val="0"/>
          <w:bCs/>
          <w:sz w:val="32"/>
          <w:szCs w:val="32"/>
        </w:rPr>
        <w:t>完成预算61.02</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21年增加0.36万元，增长100</w:t>
      </w:r>
      <w:r>
        <w:rPr>
          <w:rFonts w:ascii="仿宋_GB2312" w:eastAsia="仿宋_GB2312"/>
          <w:sz w:val="32"/>
          <w:szCs w:val="32"/>
        </w:rPr>
        <w:t>%</w:t>
      </w:r>
      <w:r>
        <w:rPr>
          <w:rFonts w:hint="eastAsia" w:ascii="仿宋_GB2312" w:eastAsia="仿宋_GB2312"/>
          <w:sz w:val="32"/>
          <w:szCs w:val="32"/>
        </w:rPr>
        <w:t>。主要原因是根据工作实际，2021年的一次公务接待产生在当年度的12月底，账务在2022年初报销。其中：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0.36</w:t>
      </w:r>
      <w:r>
        <w:rPr>
          <w:rFonts w:hint="eastAsia" w:ascii="仿宋_GB2312" w:eastAsia="仿宋_GB2312"/>
          <w:sz w:val="32"/>
          <w:szCs w:val="32"/>
        </w:rPr>
        <w:t>万元，主要用于全省“示范便民服务中心”验收评估工作、考察学习“一网通办”相关工作的接待。国内公务接待2批次，15人次（不包括陪同人员），共计支出0.36万元，具体内容包括：2021年12月全省“示范便民服务中心”验收评估工作，接待7人，支出1800元；2022年5月，雅安市政务服务和大数据局赴攀考察学习“一网通办”相关工作，接待8人，支出1790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41" w:name="_Toc15396610"/>
      <w:bookmarkStart w:id="42" w:name="_Toc15377218"/>
    </w:p>
    <w:p>
      <w:pPr>
        <w:pStyle w:val="2"/>
        <w:spacing w:before="93"/>
      </w:pPr>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1"/>
      <w:bookmarkEnd w:id="42"/>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spacing w:line="600" w:lineRule="exact"/>
        <w:ind w:firstLine="640"/>
        <w:rPr>
          <w:rFonts w:ascii="仿宋_GB2312" w:eastAsia="仿宋_GB2312"/>
          <w:sz w:val="32"/>
          <w:szCs w:val="32"/>
        </w:rPr>
      </w:pPr>
    </w:p>
    <w:p>
      <w:pPr>
        <w:numPr>
          <w:ilvl w:val="0"/>
          <w:numId w:val="5"/>
        </w:numPr>
        <w:spacing w:line="600" w:lineRule="exact"/>
        <w:ind w:firstLine="640"/>
        <w:outlineLvl w:val="1"/>
        <w:rPr>
          <w:rStyle w:val="25"/>
          <w:rFonts w:ascii="黑体" w:hAnsi="黑体" w:eastAsia="黑体"/>
          <w:b w:val="0"/>
        </w:rPr>
      </w:pPr>
      <w:bookmarkStart w:id="43" w:name="_Toc15377219"/>
      <w:bookmarkStart w:id="44" w:name="_Toc15396611"/>
      <w:r>
        <w:rPr>
          <w:rStyle w:val="25"/>
          <w:rFonts w:hint="eastAsia" w:ascii="黑体" w:hAnsi="黑体" w:eastAsia="黑体"/>
          <w:b w:val="0"/>
        </w:rPr>
        <w:t>国有资本经营预算支出决算情况说明</w:t>
      </w:r>
      <w:bookmarkEnd w:id="43"/>
      <w:bookmarkEnd w:id="44"/>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5"/>
        </w:numPr>
        <w:spacing w:line="600" w:lineRule="exact"/>
        <w:ind w:firstLine="640"/>
        <w:outlineLvl w:val="1"/>
        <w:rPr>
          <w:rStyle w:val="25"/>
          <w:rFonts w:ascii="黑体" w:hAnsi="黑体" w:eastAsia="黑体"/>
          <w:b w:val="0"/>
        </w:rPr>
      </w:pPr>
      <w:bookmarkStart w:id="45" w:name="_Toc15377221"/>
      <w:bookmarkStart w:id="46" w:name="_Toc15396612"/>
      <w:r>
        <w:rPr>
          <w:rStyle w:val="25"/>
          <w:rFonts w:hint="eastAsia" w:ascii="黑体" w:hAnsi="黑体" w:eastAsia="黑体"/>
          <w:b w:val="0"/>
        </w:rPr>
        <w:t>其他重要事项的情况说明</w:t>
      </w:r>
      <w:bookmarkEnd w:id="45"/>
      <w:bookmarkEnd w:id="46"/>
    </w:p>
    <w:p>
      <w:pPr>
        <w:spacing w:line="600" w:lineRule="exact"/>
        <w:ind w:firstLine="643" w:firstLineChars="200"/>
        <w:outlineLvl w:val="2"/>
        <w:rPr>
          <w:rFonts w:ascii="仿宋" w:hAnsi="仿宋" w:eastAsia="仿宋"/>
          <w:sz w:val="32"/>
          <w:szCs w:val="32"/>
        </w:rPr>
      </w:pPr>
      <w:bookmarkStart w:id="47" w:name="_Toc15377222"/>
      <w:r>
        <w:rPr>
          <w:rFonts w:hint="eastAsia" w:ascii="仿宋" w:hAnsi="仿宋" w:eastAsia="仿宋"/>
          <w:b/>
          <w:sz w:val="32"/>
          <w:szCs w:val="32"/>
        </w:rPr>
        <w:t>（一）机关运行经费支出情况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color w:val="000000"/>
          <w:sz w:val="32"/>
          <w:szCs w:val="32"/>
        </w:rPr>
        <w:t>攀枝花市政务服务管理局</w:t>
      </w:r>
      <w:r>
        <w:rPr>
          <w:rFonts w:hint="eastAsia" w:ascii="仿宋_GB2312" w:eastAsia="仿宋_GB2312"/>
          <w:sz w:val="32"/>
          <w:szCs w:val="32"/>
        </w:rPr>
        <w:t>机关运行经费支出53.46万元，比</w:t>
      </w:r>
      <w:r>
        <w:rPr>
          <w:rFonts w:ascii="仿宋_GB2312" w:eastAsia="仿宋_GB2312"/>
          <w:sz w:val="32"/>
          <w:szCs w:val="32"/>
        </w:rPr>
        <w:t>20</w:t>
      </w:r>
      <w:r>
        <w:rPr>
          <w:rFonts w:hint="eastAsia" w:ascii="仿宋_GB2312" w:eastAsia="仿宋_GB2312"/>
          <w:sz w:val="32"/>
          <w:szCs w:val="32"/>
        </w:rPr>
        <w:t>21年增加5.41万元，增长11.26</w:t>
      </w:r>
      <w:r>
        <w:rPr>
          <w:rFonts w:ascii="仿宋_GB2312" w:eastAsia="仿宋_GB2312"/>
          <w:sz w:val="32"/>
          <w:szCs w:val="32"/>
        </w:rPr>
        <w:t>%</w:t>
      </w:r>
      <w:r>
        <w:rPr>
          <w:rFonts w:hint="eastAsia" w:ascii="仿宋_GB2312" w:eastAsia="仿宋_GB2312"/>
          <w:sz w:val="32"/>
          <w:szCs w:val="32"/>
        </w:rPr>
        <w:t>。主要原因是2022年单位职工增加5人，工作开展所需的办公费及差旅费等增加。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3"/>
      <w:r>
        <w:rPr>
          <w:rFonts w:hint="eastAsia" w:ascii="仿宋" w:hAnsi="仿宋" w:eastAsia="仿宋"/>
          <w:b/>
          <w:sz w:val="32"/>
          <w:szCs w:val="32"/>
        </w:rPr>
        <w:t>（二）政府采购支出情况</w:t>
      </w:r>
      <w:bookmarkEnd w:id="48"/>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color w:val="000000"/>
          <w:sz w:val="32"/>
          <w:szCs w:val="32"/>
        </w:rPr>
        <w:t>攀枝花市政务服务管理局</w:t>
      </w:r>
      <w:r>
        <w:rPr>
          <w:rFonts w:hint="eastAsia" w:ascii="仿宋_GB2312" w:eastAsia="仿宋_GB2312"/>
          <w:sz w:val="32"/>
          <w:szCs w:val="32"/>
        </w:rPr>
        <w:t>政府采购支出总额0万元。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9" w:name="_Toc15377224"/>
      <w:r>
        <w:rPr>
          <w:rFonts w:hint="eastAsia" w:ascii="仿宋" w:hAnsi="仿宋" w:eastAsia="仿宋"/>
          <w:b/>
          <w:sz w:val="32"/>
          <w:szCs w:val="32"/>
        </w:rPr>
        <w:t>（三）国有资产占有使用情况</w:t>
      </w:r>
      <w:bookmarkEnd w:id="49"/>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攀枝花市政务服务管理局</w:t>
      </w:r>
      <w:r>
        <w:rPr>
          <w:rFonts w:hint="eastAsia" w:ascii="仿宋_GB2312" w:eastAsia="仿宋_GB2312"/>
          <w:sz w:val="32"/>
          <w:szCs w:val="32"/>
        </w:rPr>
        <w:t>共有车辆1辆，其中：主要领导干部用车0辆、机要通信用车0辆、应急保障用车0辆、其他用车1辆，其他用车主要是用于执行公务。单价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大厅维护费项目等5个项目开展了预算事前绩效评估，对5个项目编制了绩效目标，预算执行过程中，选取5个项目开展绩效监控，组织对5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6"/>
        </w:numPr>
        <w:spacing w:line="600" w:lineRule="exact"/>
        <w:ind w:firstLine="660" w:firstLineChars="150"/>
        <w:jc w:val="center"/>
        <w:outlineLvl w:val="0"/>
        <w:rPr>
          <w:rStyle w:val="24"/>
          <w:rFonts w:ascii="黑体" w:hAnsi="黑体" w:eastAsia="黑体"/>
          <w:b w:val="0"/>
        </w:rPr>
      </w:pPr>
      <w:bookmarkStart w:id="50" w:name="_Toc15396613"/>
      <w:bookmarkStart w:id="51" w:name="_Toc15377225"/>
      <w:r>
        <w:rPr>
          <w:rFonts w:hint="eastAsia" w:ascii="黑体" w:hAnsi="黑体" w:eastAsia="黑体"/>
          <w:sz w:val="44"/>
          <w:szCs w:val="44"/>
        </w:rPr>
        <w:t>名</w:t>
      </w:r>
      <w:r>
        <w:rPr>
          <w:rStyle w:val="24"/>
          <w:rFonts w:hint="eastAsia" w:ascii="黑体" w:hAnsi="黑体" w:eastAsia="黑体"/>
          <w:b w:val="0"/>
        </w:rPr>
        <w:t>词解释</w:t>
      </w:r>
      <w:bookmarkEnd w:id="50"/>
      <w:bookmarkEnd w:id="51"/>
    </w:p>
    <w:p>
      <w:pPr>
        <w:spacing w:line="600" w:lineRule="exact"/>
        <w:jc w:val="left"/>
        <w:rPr>
          <w:rFonts w:ascii="宋体"/>
          <w:b/>
          <w:sz w:val="44"/>
          <w:szCs w:val="44"/>
        </w:rPr>
      </w:pP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一般公共服务（类）03（款）01（项）：指行政单位（包括实行公务员管理的事业单位）的基本支出。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3.一般公共服务（类）03（款）02（项）：指行政单位（包括实行公务员管理的事业单位）提供未单独设置项级科目的其他项目支出。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4.一般公共服务（类）03（款）50（项）：指事业单位的基本支出，不包括行政单位（包括实行公务员管理的事业单位）后勤服务中心、医务室等附属事业单位。</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5.一般公共服务（类）03（款）99（项）：指除上述项目以外的其他政府办公厅（室）及相关机构事务支出。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hint="eastAsia" w:ascii="仿宋" w:hAnsi="仿宋" w:eastAsia="仿宋"/>
          <w:bCs/>
          <w:color w:val="000000"/>
          <w:sz w:val="32"/>
          <w:szCs w:val="32"/>
        </w:rPr>
        <w:t xml:space="preserve"> </w:t>
      </w:r>
      <w:r>
        <w:rPr>
          <w:rStyle w:val="14"/>
          <w:rFonts w:hint="eastAsia" w:ascii="仿宋" w:hAnsi="仿宋" w:eastAsia="仿宋"/>
          <w:b w:val="0"/>
          <w:bCs/>
          <w:color w:val="000000"/>
          <w:sz w:val="32"/>
          <w:szCs w:val="32"/>
        </w:rPr>
        <w:t>一般公共服务（类）31（款）01（项）</w:t>
      </w:r>
      <w:r>
        <w:rPr>
          <w:rFonts w:hint="eastAsia" w:ascii="仿宋_GB2312" w:eastAsia="仿宋_GB2312"/>
          <w:color w:val="000000"/>
          <w:sz w:val="32"/>
          <w:szCs w:val="32"/>
        </w:rPr>
        <w:t>：指党委办公厅（室）及相关机构事务方面的支出。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hint="eastAsia" w:ascii="仿宋" w:hAnsi="仿宋" w:eastAsia="仿宋"/>
          <w:bCs/>
          <w:color w:val="000000"/>
          <w:sz w:val="32"/>
          <w:szCs w:val="32"/>
        </w:rPr>
        <w:t xml:space="preserve"> </w:t>
      </w:r>
      <w:r>
        <w:rPr>
          <w:rStyle w:val="14"/>
          <w:rFonts w:hint="eastAsia" w:ascii="仿宋" w:hAnsi="仿宋" w:eastAsia="仿宋"/>
          <w:b w:val="0"/>
          <w:bCs/>
          <w:color w:val="000000"/>
          <w:sz w:val="32"/>
          <w:szCs w:val="32"/>
        </w:rPr>
        <w:t>一般公共服务（类）32（款）99（项）</w:t>
      </w:r>
      <w:r>
        <w:rPr>
          <w:rFonts w:hint="eastAsia" w:ascii="仿宋_GB2312" w:eastAsia="仿宋_GB2312"/>
          <w:color w:val="000000"/>
          <w:sz w:val="32"/>
          <w:szCs w:val="32"/>
        </w:rPr>
        <w:t>：指除上述项目以外其他用于中国共产党组织部门的事务支出。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社会保障和就业（类）05（款）01（项）：指实行归口管理的行政单位（包括实行公务员管理的事业单位）开支的离退休经费。</w:t>
      </w:r>
    </w:p>
    <w:p>
      <w:pPr>
        <w:ind w:firstLine="640" w:firstLineChars="200"/>
        <w:rPr>
          <w:rStyle w:val="14"/>
          <w:rFonts w:ascii="仿宋_GB2312" w:eastAsia="仿宋_GB2312"/>
          <w:b w:val="0"/>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社会保障和就业（类）05（款）05（项）：指机关事业单位实施养老保险制度由单位缴纳的基本养老保险费支出。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 xml:space="preserve"> 城乡社区支出（类）03（款）99（项）</w:t>
      </w:r>
      <w:r>
        <w:rPr>
          <w:rFonts w:ascii="仿宋_GB2312" w:eastAsia="仿宋_GB2312"/>
          <w:color w:val="000000"/>
          <w:sz w:val="32"/>
          <w:szCs w:val="32"/>
        </w:rPr>
        <w:t>:</w:t>
      </w:r>
      <w:r>
        <w:rPr>
          <w:rFonts w:hint="eastAsia" w:ascii="仿宋_GB2312" w:eastAsia="仿宋_GB2312"/>
          <w:color w:val="000000"/>
          <w:sz w:val="32"/>
          <w:szCs w:val="32"/>
        </w:rPr>
        <w:t>指行政单位医疗支出。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住房保障（类）02（款）01（项）：指住房公积金支出。</w:t>
      </w:r>
    </w:p>
    <w:p>
      <w:pPr>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16</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52" w:name="_Toc15377226"/>
      <w:r>
        <w:rPr>
          <w:rFonts w:ascii="宋体"/>
          <w:b/>
          <w:sz w:val="44"/>
          <w:szCs w:val="44"/>
        </w:rPr>
        <w:br w:type="page"/>
      </w:r>
      <w:bookmarkStart w:id="53" w:name="_Toc15396614"/>
      <w:r>
        <w:rPr>
          <w:rFonts w:hint="eastAsia" w:ascii="黑体" w:hAnsi="黑体" w:eastAsia="黑体"/>
          <w:sz w:val="44"/>
          <w:szCs w:val="44"/>
        </w:rPr>
        <w:t>第</w:t>
      </w:r>
      <w:r>
        <w:rPr>
          <w:rStyle w:val="24"/>
          <w:rFonts w:hint="eastAsia" w:ascii="黑体" w:hAnsi="黑体" w:eastAsia="黑体"/>
          <w:b w:val="0"/>
        </w:rPr>
        <w:t>四部分 附件</w:t>
      </w:r>
      <w:bookmarkEnd w:id="53"/>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宋体" w:hAnsi="宋体" w:cs="宋体"/>
          <w:kern w:val="0"/>
          <w:sz w:val="32"/>
          <w:szCs w:val="32"/>
        </w:rPr>
      </w:pPr>
      <w:bookmarkStart w:id="54" w:name="_Toc15396618"/>
      <w:r>
        <w:rPr>
          <w:rFonts w:hint="eastAsia" w:ascii="宋体" w:hAnsi="宋体" w:cs="宋体"/>
          <w:kern w:val="0"/>
          <w:sz w:val="32"/>
          <w:szCs w:val="32"/>
        </w:rPr>
        <w:t>部门预算项目支出绩效自评表（2022年度）见附件3</w:t>
      </w:r>
    </w:p>
    <w:p>
      <w:pPr>
        <w:spacing w:line="600" w:lineRule="exact"/>
        <w:jc w:val="left"/>
        <w:outlineLvl w:val="0"/>
        <w:rPr>
          <w:rFonts w:ascii="仿宋_GB2312" w:hAnsi="Calibri" w:eastAsia="仿宋_GB2312" w:cs="仿宋"/>
          <w:kern w:val="0"/>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2"/>
      <w:bookmarkEnd w:id="54"/>
      <w:bookmarkStart w:id="55"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5"/>
    </w:p>
    <w:p>
      <w:pPr>
        <w:pStyle w:val="4"/>
        <w:rPr>
          <w:rFonts w:ascii="仿宋" w:hAnsi="仿宋" w:eastAsia="仿宋"/>
        </w:rPr>
      </w:pPr>
      <w:bookmarkStart w:id="56" w:name="_Toc15396620"/>
      <w:r>
        <w:rPr>
          <w:rFonts w:hint="eastAsia" w:ascii="仿宋" w:hAnsi="仿宋" w:eastAsia="仿宋"/>
          <w:b w:val="0"/>
        </w:rPr>
        <w:t>二、收</w:t>
      </w:r>
      <w:r>
        <w:rPr>
          <w:rStyle w:val="25"/>
          <w:rFonts w:hint="eastAsia" w:ascii="仿宋" w:hAnsi="仿宋" w:eastAsia="仿宋"/>
          <w:b w:val="0"/>
          <w:bCs w:val="0"/>
        </w:rPr>
        <w:t>入决算表</w:t>
      </w:r>
      <w:bookmarkEnd w:id="56"/>
    </w:p>
    <w:p>
      <w:pPr>
        <w:pStyle w:val="4"/>
        <w:rPr>
          <w:rFonts w:ascii="仿宋" w:hAnsi="仿宋" w:eastAsia="仿宋"/>
        </w:rPr>
      </w:pPr>
      <w:bookmarkStart w:id="57"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7"/>
    </w:p>
    <w:p>
      <w:pPr>
        <w:pStyle w:val="4"/>
        <w:rPr>
          <w:rFonts w:ascii="仿宋" w:hAnsi="仿宋" w:eastAsia="仿宋"/>
          <w:b w:val="0"/>
        </w:rPr>
      </w:pPr>
      <w:bookmarkStart w:id="58"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8"/>
    </w:p>
    <w:p>
      <w:pPr>
        <w:pStyle w:val="4"/>
        <w:rPr>
          <w:rStyle w:val="25"/>
          <w:rFonts w:ascii="仿宋" w:hAnsi="仿宋" w:eastAsia="仿宋"/>
          <w:b w:val="0"/>
          <w:bCs w:val="0"/>
        </w:rPr>
      </w:pPr>
      <w:bookmarkStart w:id="59"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9"/>
      <w:bookmarkStart w:id="60"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60"/>
    </w:p>
    <w:p>
      <w:pPr>
        <w:pStyle w:val="4"/>
        <w:rPr>
          <w:rFonts w:ascii="仿宋" w:hAnsi="仿宋" w:eastAsia="仿宋"/>
        </w:rPr>
      </w:pPr>
      <w:bookmarkStart w:id="61"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1"/>
    </w:p>
    <w:p>
      <w:pPr>
        <w:pStyle w:val="4"/>
        <w:rPr>
          <w:rFonts w:ascii="仿宋" w:hAnsi="仿宋" w:eastAsia="仿宋"/>
        </w:rPr>
      </w:pPr>
      <w:bookmarkStart w:id="62"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2"/>
    </w:p>
    <w:p>
      <w:pPr>
        <w:pStyle w:val="4"/>
        <w:rPr>
          <w:rFonts w:ascii="仿宋" w:hAnsi="仿宋" w:eastAsia="仿宋"/>
        </w:rPr>
      </w:pPr>
      <w:bookmarkStart w:id="63"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3"/>
    </w:p>
    <w:p>
      <w:pPr>
        <w:pStyle w:val="4"/>
        <w:rPr>
          <w:rFonts w:ascii="仿宋" w:hAnsi="仿宋" w:eastAsia="仿宋"/>
        </w:rPr>
      </w:pPr>
      <w:bookmarkStart w:id="64" w:name="_Toc15396628"/>
      <w:r>
        <w:rPr>
          <w:rStyle w:val="25"/>
          <w:rFonts w:hint="eastAsia" w:ascii="仿宋" w:hAnsi="仿宋" w:eastAsia="仿宋"/>
          <w:b w:val="0"/>
          <w:bCs w:val="0"/>
        </w:rPr>
        <w:t>十、</w:t>
      </w:r>
      <w:bookmarkEnd w:id="64"/>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4"/>
        <w:rPr>
          <w:rFonts w:ascii="仿宋" w:hAnsi="仿宋" w:eastAsia="仿宋"/>
        </w:rPr>
      </w:pPr>
      <w:bookmarkStart w:id="65" w:name="_Toc15396629"/>
      <w:r>
        <w:rPr>
          <w:rStyle w:val="25"/>
          <w:rFonts w:hint="eastAsia" w:ascii="仿宋" w:hAnsi="仿宋" w:eastAsia="仿宋"/>
          <w:b w:val="0"/>
          <w:bCs w:val="0"/>
        </w:rPr>
        <w:t>十一、</w:t>
      </w:r>
      <w:bookmarkEnd w:id="65"/>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4"/>
        <w:rPr>
          <w:rFonts w:ascii="仿宋" w:hAnsi="仿宋" w:eastAsia="仿宋"/>
        </w:rPr>
      </w:pPr>
      <w:bookmarkStart w:id="66" w:name="_Toc15396630"/>
      <w:r>
        <w:rPr>
          <w:rStyle w:val="25"/>
          <w:rFonts w:hint="eastAsia" w:ascii="仿宋" w:hAnsi="仿宋" w:eastAsia="仿宋"/>
          <w:b w:val="0"/>
          <w:bCs w:val="0"/>
        </w:rPr>
        <w:t>十二、</w:t>
      </w:r>
      <w:bookmarkEnd w:id="66"/>
      <w:r>
        <w:rPr>
          <w:rStyle w:val="25"/>
          <w:rFonts w:hint="eastAsia" w:ascii="仿宋" w:hAnsi="仿宋" w:eastAsia="仿宋"/>
          <w:b w:val="0"/>
          <w:bCs w:val="0"/>
        </w:rPr>
        <w:t>国有资本经营预算财政拨款支出决算表</w:t>
      </w:r>
    </w:p>
    <w:p>
      <w:pPr>
        <w:pStyle w:val="4"/>
        <w:rPr>
          <w:rFonts w:eastAsia="仿宋"/>
        </w:rPr>
      </w:pPr>
      <w:bookmarkStart w:id="67" w:name="_Toc15396631"/>
      <w:r>
        <w:rPr>
          <w:rStyle w:val="25"/>
          <w:rFonts w:hint="eastAsia" w:ascii="仿宋" w:hAnsi="仿宋" w:eastAsia="仿宋"/>
          <w:b w:val="0"/>
          <w:bCs w:val="0"/>
        </w:rPr>
        <w:t>十三、</w:t>
      </w:r>
      <w:bookmarkEnd w:id="67"/>
      <w:r>
        <w:rPr>
          <w:rStyle w:val="25"/>
          <w:rFonts w:hint="eastAsia" w:ascii="仿宋" w:hAnsi="仿宋" w:eastAsia="仿宋"/>
          <w:b w:val="0"/>
          <w:bCs w:val="0"/>
        </w:rPr>
        <w:t>财政拨款“三公”经费支出决算表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19</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A6DB5B"/>
    <w:multiLevelType w:val="singleLevel"/>
    <w:tmpl w:val="9FA6DB5B"/>
    <w:lvl w:ilvl="0" w:tentative="0">
      <w:start w:val="1"/>
      <w:numFmt w:val="decimal"/>
      <w:lvlText w:val="%1."/>
      <w:lvlJc w:val="left"/>
      <w:pPr>
        <w:tabs>
          <w:tab w:val="left" w:pos="312"/>
        </w:tabs>
      </w:pPr>
    </w:lvl>
  </w:abstractNum>
  <w:abstractNum w:abstractNumId="1">
    <w:nsid w:val="A637F146"/>
    <w:multiLevelType w:val="singleLevel"/>
    <w:tmpl w:val="A637F146"/>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818A09A"/>
    <w:multiLevelType w:val="singleLevel"/>
    <w:tmpl w:val="3818A09A"/>
    <w:lvl w:ilvl="0" w:tentative="0">
      <w:start w:val="1"/>
      <w:numFmt w:val="chineseCounting"/>
      <w:suff w:val="nothing"/>
      <w:lvlText w:val="%1、"/>
      <w:lvlJc w:val="left"/>
      <w:rPr>
        <w:rFonts w:hint="eastAsia"/>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3F4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E41"/>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0B87"/>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229A"/>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77FF4"/>
    <w:rsid w:val="02DF448C"/>
    <w:rsid w:val="03434CBE"/>
    <w:rsid w:val="047D1506"/>
    <w:rsid w:val="053A62B5"/>
    <w:rsid w:val="0A2032A3"/>
    <w:rsid w:val="0B5F1A54"/>
    <w:rsid w:val="0B8A37D8"/>
    <w:rsid w:val="10C055FF"/>
    <w:rsid w:val="11103826"/>
    <w:rsid w:val="118107EC"/>
    <w:rsid w:val="11CB3EF0"/>
    <w:rsid w:val="11DD6519"/>
    <w:rsid w:val="141E6ADD"/>
    <w:rsid w:val="16AC091A"/>
    <w:rsid w:val="16BB723D"/>
    <w:rsid w:val="18015F3F"/>
    <w:rsid w:val="18164F9F"/>
    <w:rsid w:val="1A8F2D78"/>
    <w:rsid w:val="1BE8440E"/>
    <w:rsid w:val="1D155CEE"/>
    <w:rsid w:val="20224744"/>
    <w:rsid w:val="20F57F95"/>
    <w:rsid w:val="22B20B0A"/>
    <w:rsid w:val="22FA3BDF"/>
    <w:rsid w:val="240371BF"/>
    <w:rsid w:val="24346571"/>
    <w:rsid w:val="25711CC6"/>
    <w:rsid w:val="25913FD4"/>
    <w:rsid w:val="25C741E6"/>
    <w:rsid w:val="2646773C"/>
    <w:rsid w:val="27842671"/>
    <w:rsid w:val="2902136A"/>
    <w:rsid w:val="29947700"/>
    <w:rsid w:val="29FD04D3"/>
    <w:rsid w:val="2ABE7A3E"/>
    <w:rsid w:val="2AE9322A"/>
    <w:rsid w:val="2CA234A8"/>
    <w:rsid w:val="2EFA178C"/>
    <w:rsid w:val="30422C53"/>
    <w:rsid w:val="30B46D73"/>
    <w:rsid w:val="311F6A58"/>
    <w:rsid w:val="319F7F4E"/>
    <w:rsid w:val="32973661"/>
    <w:rsid w:val="329C61CE"/>
    <w:rsid w:val="33ED2C49"/>
    <w:rsid w:val="383D272C"/>
    <w:rsid w:val="38C57FC3"/>
    <w:rsid w:val="39AE70AB"/>
    <w:rsid w:val="3B421F37"/>
    <w:rsid w:val="3C0C0783"/>
    <w:rsid w:val="3DAC7434"/>
    <w:rsid w:val="3E4D1FD5"/>
    <w:rsid w:val="3EFF17D6"/>
    <w:rsid w:val="3F9F3A96"/>
    <w:rsid w:val="3FE9697C"/>
    <w:rsid w:val="40D13A12"/>
    <w:rsid w:val="43282B8D"/>
    <w:rsid w:val="45BF7936"/>
    <w:rsid w:val="48BF60AB"/>
    <w:rsid w:val="493C27E9"/>
    <w:rsid w:val="496F39ED"/>
    <w:rsid w:val="49FF41D3"/>
    <w:rsid w:val="4A0C636D"/>
    <w:rsid w:val="4ACF047B"/>
    <w:rsid w:val="4B664D48"/>
    <w:rsid w:val="4BE068DB"/>
    <w:rsid w:val="4BF6002B"/>
    <w:rsid w:val="4ECE2238"/>
    <w:rsid w:val="51DB4B86"/>
    <w:rsid w:val="55333C3E"/>
    <w:rsid w:val="5A096927"/>
    <w:rsid w:val="5BC4681B"/>
    <w:rsid w:val="5F181B2B"/>
    <w:rsid w:val="61D616FA"/>
    <w:rsid w:val="6297145C"/>
    <w:rsid w:val="64215CAA"/>
    <w:rsid w:val="64540C2F"/>
    <w:rsid w:val="64CA39A1"/>
    <w:rsid w:val="69630ADE"/>
    <w:rsid w:val="6C4A05C8"/>
    <w:rsid w:val="6D3B1A89"/>
    <w:rsid w:val="6FAD42B9"/>
    <w:rsid w:val="709464F5"/>
    <w:rsid w:val="71020220"/>
    <w:rsid w:val="71BF4EC2"/>
    <w:rsid w:val="71EF750D"/>
    <w:rsid w:val="72317BCA"/>
    <w:rsid w:val="72734D90"/>
    <w:rsid w:val="73C616C7"/>
    <w:rsid w:val="7412278C"/>
    <w:rsid w:val="74D20D7E"/>
    <w:rsid w:val="78591FEC"/>
    <w:rsid w:val="79E7B28D"/>
    <w:rsid w:val="7CA94A1B"/>
    <w:rsid w:val="7DF7171A"/>
    <w:rsid w:val="7F9F20EE"/>
    <w:rsid w:val="7FD00C43"/>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918</Words>
  <Characters>5236</Characters>
  <Lines>43</Lines>
  <Paragraphs>12</Paragraphs>
  <TotalTime>17</TotalTime>
  <ScaleCrop>false</ScaleCrop>
  <LinksUpToDate>false</LinksUpToDate>
  <CharactersWithSpaces>6142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李燕君</cp:lastModifiedBy>
  <cp:lastPrinted>2023-07-31T02:35:00Z</cp:lastPrinted>
  <dcterms:modified xsi:type="dcterms:W3CDTF">2023-10-12T02:22:24Z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