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8441"/>
      <w:bookmarkStart w:id="3" w:name="_Toc15377193"/>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77194"/>
      <w:bookmarkStart w:id="8" w:name="_Toc15396476"/>
      <w:bookmarkStart w:id="9" w:name="_Toc15396598"/>
      <w:bookmarkStart w:id="10" w:name="_Toc15377426"/>
      <w:bookmarkStart w:id="11" w:name="_Toc15378442"/>
      <w:r>
        <w:rPr>
          <w:rFonts w:hint="eastAsia" w:ascii="方正小标宋简体" w:hAnsi="方正小标宋简体" w:eastAsia="方正小标宋简体" w:cs="方正小标宋简体"/>
          <w:sz w:val="72"/>
          <w:szCs w:val="72"/>
        </w:rPr>
        <w:t>攀枝花市政务服务管理局部门决算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公开时间：2023年9月</w:t>
      </w:r>
      <w:r>
        <w:t>1</w:t>
      </w:r>
      <w:r>
        <w:rPr>
          <w:rFonts w:hint="eastAsia"/>
          <w:lang w:val="en-US" w:eastAsia="zh-CN"/>
        </w:rPr>
        <w:t>4</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rPr>
        <w:t>4</w:t>
      </w:r>
    </w:p>
    <w:p>
      <w:pPr>
        <w:pStyle w:val="13"/>
        <w:adjustRightInd w:val="0"/>
        <w:snapToGrid w:val="0"/>
        <w:spacing w:line="440" w:lineRule="exact"/>
        <w:jc w:val="left"/>
        <w:rPr>
          <w:rFonts w:ascii="仿宋" w:hAnsi="仿宋"/>
          <w:sz w:val="24"/>
        </w:rPr>
      </w:pPr>
      <w:r>
        <w:rPr>
          <w:rFonts w:hint="eastAsia"/>
          <w:sz w:val="24"/>
        </w:rPr>
        <w:t>一、部门职责</w:t>
      </w:r>
      <w:r>
        <w:rPr>
          <w:rFonts w:cstheme="minorBidi"/>
          <w:sz w:val="24"/>
        </w:rPr>
        <w:tab/>
      </w:r>
      <w:r>
        <w:rPr>
          <w:rFonts w:hint="eastAsia" w:cstheme="minorBidi"/>
          <w:sz w:val="24"/>
        </w:rPr>
        <w:t>4</w:t>
      </w:r>
    </w:p>
    <w:p>
      <w:pPr>
        <w:pStyle w:val="13"/>
        <w:adjustRightInd w:val="0"/>
        <w:snapToGrid w:val="0"/>
        <w:spacing w:line="440" w:lineRule="exact"/>
        <w:jc w:val="left"/>
        <w:rPr>
          <w:rFonts w:ascii="仿宋" w:hAnsi="仿宋" w:cstheme="minorBidi"/>
          <w:sz w:val="24"/>
        </w:rPr>
      </w:pPr>
      <w:r>
        <w:rPr>
          <w:rFonts w:hint="eastAsia"/>
          <w:sz w:val="24"/>
        </w:rPr>
        <w:t>二、机构设置</w:t>
      </w:r>
      <w:r>
        <w:rPr>
          <w:rFonts w:cstheme="minorBidi"/>
          <w:sz w:val="24"/>
        </w:rPr>
        <w:tab/>
      </w:r>
      <w:r>
        <w:rPr>
          <w:rFonts w:hint="eastAsia" w:cstheme="minorBidi"/>
          <w:sz w:val="24"/>
        </w:rPr>
        <w:t>5</w:t>
      </w:r>
    </w:p>
    <w:p>
      <w:pPr>
        <w:pStyle w:val="12"/>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9</w:t>
      </w:r>
    </w:p>
    <w:p>
      <w:pPr>
        <w:pStyle w:val="13"/>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cstheme="minorBidi"/>
          <w:sz w:val="24"/>
        </w:rPr>
        <w:tab/>
      </w:r>
      <w:r>
        <w:rPr>
          <w:rFonts w:hint="eastAsia" w:cstheme="minorBidi"/>
          <w:sz w:val="24"/>
        </w:rPr>
        <w:t>10</w:t>
      </w:r>
    </w:p>
    <w:p>
      <w:pPr>
        <w:pStyle w:val="13"/>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cstheme="minorBidi"/>
          <w:sz w:val="24"/>
        </w:rPr>
        <w:tab/>
      </w:r>
      <w:r>
        <w:rPr>
          <w:rFonts w:hint="eastAsia" w:cstheme="minorBidi"/>
          <w:sz w:val="24"/>
        </w:rPr>
        <w:t>12</w:t>
      </w:r>
    </w:p>
    <w:p>
      <w:pPr>
        <w:pStyle w:val="13"/>
        <w:adjustRightInd w:val="0"/>
        <w:snapToGrid w:val="0"/>
        <w:spacing w:line="440" w:lineRule="exact"/>
        <w:ind w:leftChars="0"/>
        <w:jc w:val="left"/>
        <w:rPr>
          <w:rFonts w:cstheme="minorBidi"/>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12</w:t>
      </w:r>
    </w:p>
    <w:p>
      <w:pPr>
        <w:pStyle w:val="13"/>
        <w:adjustRightInd w:val="0"/>
        <w:snapToGrid w:val="0"/>
        <w:spacing w:line="440" w:lineRule="exact"/>
        <w:ind w:leftChars="0"/>
        <w:jc w:val="left"/>
        <w:rPr>
          <w:rFonts w:asciiTheme="minorEastAsia" w:hAnsiTheme="minorEastAsia" w:cstheme="minorEastAsia"/>
          <w:sz w:val="24"/>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cstheme="minorBidi"/>
          <w:sz w:val="24"/>
        </w:rPr>
        <w:tab/>
      </w:r>
      <w:r>
        <w:rPr>
          <w:rFonts w:hint="eastAsia" w:cstheme="minorBidi"/>
          <w:sz w:val="24"/>
        </w:rPr>
        <w:t>12</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rPr>
        <w:t>14</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rPr>
        <w:t>17</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23</w:t>
      </w:r>
    </w:p>
    <w:p>
      <w:pPr>
        <w:pStyle w:val="13"/>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cstheme="minorBidi"/>
          <w:sz w:val="24"/>
        </w:rPr>
        <w:t>23</w:t>
      </w:r>
    </w:p>
    <w:p>
      <w:pPr>
        <w:pStyle w:val="13"/>
        <w:adjustRightInd w:val="0"/>
        <w:snapToGrid w:val="0"/>
        <w:spacing w:line="440" w:lineRule="exact"/>
        <w:jc w:val="left"/>
        <w:rPr>
          <w:rFonts w:asciiTheme="minorEastAsia" w:hAnsiTheme="minorEastAsia" w:eastAsiaTheme="minorEastAsia" w:cstheme="minorEastAsia"/>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黑体" w:hAnsi="黑体" w:eastAsia="黑体"/>
          <w:b w:val="0"/>
        </w:rPr>
      </w:pPr>
      <w:r>
        <w:rPr>
          <w:rFonts w:hint="eastAsia" w:ascii="黑体" w:hAnsi="黑体" w:eastAsia="黑体"/>
          <w:b w:val="0"/>
        </w:rPr>
        <w:t>部门职责</w:t>
      </w:r>
    </w:p>
    <w:p>
      <w:pPr>
        <w:spacing w:line="576" w:lineRule="exact"/>
        <w:ind w:firstLine="640" w:firstLineChars="200"/>
        <w:rPr>
          <w:rFonts w:ascii="仿宋_GB2312" w:hAnsi="仿宋" w:eastAsia="仿宋_GB2312"/>
          <w:sz w:val="32"/>
          <w:szCs w:val="32"/>
        </w:rPr>
      </w:pPr>
      <w:r>
        <w:rPr>
          <w:rFonts w:ascii="仿宋_GB2312" w:hAnsi="仿宋" w:eastAsia="仿宋_GB2312"/>
          <w:sz w:val="32"/>
          <w:szCs w:val="32"/>
        </w:rPr>
        <w:t>政务管理局贯彻落实党中央关于政务服务工作的方针政策和省委、市委的决策部署，在履行职责过程中坚持和加强党对政务服务工作的集中统一领导。主要职责是：</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组织拟订全市政务服务、行政审批制度改革和公共资源交易管理服务发展规划、政策和措施并组织、指导实施。</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负责政务服务管理工作。指导、协调并推进全市政务服务体系建设。指导、协调和监督市级部门（单位）政务服务工作。指导、监督相关电子政务服务平台建设和运行工作。对县、区政务服务管理机构进行业务指导。</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负责指导、协调、监督并推进全市深化行政审批制度改革工作。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负责公共资源交易服务管理工作。指导、协调并推进全市公共资源交易服务体系建设，牵头负责公共资源交易主体信用体系建设。指导、协调、监督管理公共资源交易服务工作。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指导、协调、监督、考核进驻部门（单位）的政务服务工作，审核进驻政务服务事项，对部门（单位）独立设置的办事大厅进行业务指导和监督。</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按照省、市要求，指导、推进相对集中行政许可权改革。</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负责职责范围的安全生产和职业健康、生态环境保护、审批服务便民化等工作。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完成市委、市政府交办的其他任务。</w:t>
      </w:r>
    </w:p>
    <w:p>
      <w:pPr>
        <w:pStyle w:val="2"/>
        <w:adjustRightInd w:val="0"/>
        <w:snapToGrid w:val="0"/>
        <w:spacing w:before="93" w:line="600" w:lineRule="exact"/>
        <w:ind w:firstLine="672" w:firstLineChars="210"/>
        <w:outlineLvl w:val="2"/>
      </w:pPr>
      <w:bookmarkStart w:id="14" w:name="_Toc112832523"/>
      <w:r>
        <w:rPr>
          <w:rFonts w:hint="eastAsia" w:hAnsi="仿宋"/>
          <w:sz w:val="32"/>
          <w:szCs w:val="32"/>
        </w:rPr>
        <w:t>9.</w:t>
      </w:r>
      <w:r>
        <w:rPr>
          <w:rFonts w:hAnsi="仿宋"/>
          <w:sz w:val="32"/>
          <w:szCs w:val="32"/>
        </w:rPr>
        <w:t>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14"/>
    </w:p>
    <w:p/>
    <w:p/>
    <w:p>
      <w:pPr>
        <w:pStyle w:val="4"/>
        <w:rPr>
          <w:rStyle w:val="30"/>
          <w:b w:val="0"/>
          <w:bCs w:val="0"/>
        </w:rPr>
      </w:pPr>
      <w:bookmarkStart w:id="15" w:name="_Toc15377200"/>
      <w:bookmarkStart w:id="16" w:name="_Toc15396601"/>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5"/>
      <w:bookmarkEnd w:id="16"/>
    </w:p>
    <w:p>
      <w:pPr>
        <w:ind w:firstLine="800" w:firstLineChars="250"/>
        <w:rPr>
          <w:rFonts w:ascii="仿宋" w:hAnsi="仿宋" w:eastAsia="仿宋"/>
          <w:sz w:val="32"/>
          <w:szCs w:val="32"/>
        </w:rPr>
      </w:pPr>
      <w:r>
        <w:rPr>
          <w:rFonts w:hint="eastAsia" w:ascii="仿宋_GB2312" w:hAnsi="仿宋" w:eastAsia="仿宋_GB2312"/>
          <w:kern w:val="0"/>
          <w:sz w:val="32"/>
          <w:szCs w:val="32"/>
        </w:rPr>
        <w:t>攀枝花市政务服务管理局</w:t>
      </w:r>
      <w:r>
        <w:rPr>
          <w:rFonts w:hint="eastAsia" w:ascii="仿宋" w:hAnsi="仿宋" w:eastAsia="仿宋"/>
          <w:sz w:val="32"/>
          <w:szCs w:val="32"/>
        </w:rPr>
        <w:t>下属二级预算单位1个，其中行政单位0个，参照公务员法管理的事业单位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hAnsi="仿宋"/>
          <w:sz w:val="32"/>
          <w:szCs w:val="32"/>
        </w:rPr>
        <w:t>攀枝花市政务服务管理局</w:t>
      </w:r>
      <w:r>
        <w:rPr>
          <w:rFonts w:hint="eastAsia" w:ascii="仿宋" w:hAnsi="仿宋" w:eastAsia="仿宋"/>
          <w:sz w:val="32"/>
          <w:szCs w:val="32"/>
        </w:rPr>
        <w:t>2022年度部门决算编制范围的二级预算单位包括：</w:t>
      </w:r>
    </w:p>
    <w:p>
      <w:pPr>
        <w:pStyle w:val="51"/>
        <w:spacing w:before="0" w:beforeAutospacing="0" w:after="0" w:afterAutospacing="0"/>
        <w:ind w:firstLine="640" w:firstLineChars="200"/>
        <w:rPr>
          <w:rFonts w:ascii="仿宋_GB2312" w:hAnsi="仿宋" w:eastAsia="仿宋_GB2312" w:cs="Times New Roman"/>
          <w:sz w:val="32"/>
          <w:szCs w:val="32"/>
        </w:rPr>
      </w:pPr>
      <w:bookmarkStart w:id="17" w:name="_Toc15377202"/>
      <w:bookmarkStart w:id="18" w:name="_Toc15378449"/>
      <w:bookmarkStart w:id="19" w:name="_Toc15306276"/>
      <w:bookmarkStart w:id="20" w:name="_Toc15377433"/>
      <w:r>
        <w:rPr>
          <w:rFonts w:hint="eastAsia" w:ascii="仿宋_GB2312" w:hAnsi="仿宋" w:eastAsia="仿宋_GB2312" w:cs="Times New Roman"/>
          <w:sz w:val="32"/>
          <w:szCs w:val="32"/>
        </w:rPr>
        <w:t>攀枝花市公共资源交易服务中心</w:t>
      </w:r>
    </w:p>
    <w:bookmarkEnd w:id="17"/>
    <w:bookmarkEnd w:id="18"/>
    <w:bookmarkEnd w:id="19"/>
    <w:bookmarkEnd w:id="20"/>
    <w:p>
      <w:pPr>
        <w:pStyle w:val="3"/>
        <w:ind w:right="440"/>
        <w:jc w:val="center"/>
        <w:rPr>
          <w:rFonts w:ascii="黑体" w:hAnsi="黑体" w:eastAsia="黑体"/>
          <w:b w:val="0"/>
        </w:rPr>
      </w:pPr>
      <w:bookmarkStart w:id="21" w:name="_Toc15396602"/>
      <w:bookmarkStart w:id="22" w:name="_Toc15377204"/>
    </w:p>
    <w:p/>
    <w:p>
      <w:pPr>
        <w:pStyle w:val="3"/>
        <w:ind w:right="440"/>
        <w:jc w:val="center"/>
      </w:pPr>
      <w:r>
        <w:rPr>
          <w:rFonts w:hint="eastAsia" w:ascii="黑体" w:hAnsi="黑体" w:eastAsia="黑体"/>
          <w:b w:val="0"/>
        </w:rPr>
        <w:t>第二部分 2022年度</w:t>
      </w:r>
      <w:r>
        <w:rPr>
          <w:rStyle w:val="29"/>
          <w:rFonts w:hint="eastAsia" w:ascii="黑体" w:hAnsi="黑体" w:eastAsia="黑体"/>
          <w:b w:val="0"/>
          <w:bCs/>
        </w:rPr>
        <w:t>部门决算情况说明</w:t>
      </w:r>
      <w:bookmarkEnd w:id="21"/>
      <w:bookmarkEnd w:id="22"/>
    </w:p>
    <w:p>
      <w:pPr>
        <w:pStyle w:val="28"/>
        <w:numPr>
          <w:ilvl w:val="0"/>
          <w:numId w:val="2"/>
        </w:numPr>
        <w:spacing w:line="600" w:lineRule="exact"/>
        <w:ind w:firstLineChars="0"/>
        <w:outlineLvl w:val="1"/>
        <w:rPr>
          <w:rStyle w:val="30"/>
          <w:rFonts w:ascii="黑体" w:hAnsi="黑体" w:eastAsia="黑体"/>
          <w:b w:val="0"/>
        </w:rPr>
      </w:pPr>
      <w:bookmarkStart w:id="23" w:name="_Toc15396603"/>
      <w:bookmarkStart w:id="24"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23"/>
      <w:bookmarkEnd w:id="24"/>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2022年度收、支总计1328.55万元。与2021年相比，收、支总计各减少674.05万元，下降33.66</w:t>
      </w:r>
      <w:r>
        <w:rPr>
          <w:rFonts w:ascii="仿宋" w:hAnsi="仿宋" w:eastAsia="仿宋"/>
          <w:sz w:val="32"/>
          <w:szCs w:val="32"/>
        </w:rPr>
        <w:t>%</w:t>
      </w:r>
      <w:r>
        <w:rPr>
          <w:rFonts w:hint="eastAsia" w:ascii="仿宋" w:hAnsi="仿宋" w:eastAsia="仿宋"/>
          <w:sz w:val="32"/>
          <w:szCs w:val="32"/>
        </w:rPr>
        <w:t>。主要变动原因是减少项目支出。</w:t>
      </w:r>
    </w:p>
    <w:p>
      <w:pPr>
        <w:pStyle w:val="2"/>
        <w:spacing w:before="93"/>
        <w:rPr>
          <w:rFonts w:eastAsia="仿宋"/>
        </w:rPr>
      </w:pPr>
      <w:r>
        <w:rPr>
          <w:rFonts w:hint="eastAsia" w:eastAsia="仿宋"/>
        </w:rPr>
        <w:t xml:space="preserve">         </w:t>
      </w:r>
      <w:r>
        <w:rPr>
          <w:rFonts w:hint="eastAsia" w:eastAsia="仿宋"/>
        </w:rPr>
        <w:drawing>
          <wp:inline distT="0" distB="0" distL="114300" distR="114300">
            <wp:extent cx="3209290" cy="2196465"/>
            <wp:effectExtent l="0" t="0" r="6350" b="13335"/>
            <wp:docPr id="1" name="图片 1" descr="169286659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2866597098"/>
                    <pic:cNvPicPr>
                      <a:picLocks noChangeAspect="1"/>
                    </pic:cNvPicPr>
                  </pic:nvPicPr>
                  <pic:blipFill>
                    <a:blip r:embed="rId6"/>
                    <a:stretch>
                      <a:fillRect/>
                    </a:stretch>
                  </pic:blipFill>
                  <pic:spPr>
                    <a:xfrm>
                      <a:off x="0" y="0"/>
                      <a:ext cx="3209290" cy="2196465"/>
                    </a:xfrm>
                    <a:prstGeom prst="rect">
                      <a:avLst/>
                    </a:prstGeom>
                  </pic:spPr>
                </pic:pic>
              </a:graphicData>
            </a:graphic>
          </wp:inline>
        </w:drawing>
      </w:r>
    </w:p>
    <w:p>
      <w:pPr>
        <w:spacing w:line="600" w:lineRule="exact"/>
        <w:ind w:firstLine="1600" w:firstLineChars="5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8"/>
        <w:numPr>
          <w:ilvl w:val="0"/>
          <w:numId w:val="2"/>
        </w:numPr>
        <w:spacing w:line="600" w:lineRule="exact"/>
        <w:ind w:firstLineChars="0"/>
        <w:outlineLvl w:val="1"/>
        <w:rPr>
          <w:rStyle w:val="30"/>
          <w:rFonts w:ascii="黑体" w:hAnsi="黑体" w:eastAsia="黑体"/>
          <w:b w:val="0"/>
        </w:rPr>
      </w:pPr>
      <w:bookmarkStart w:id="25" w:name="_Toc15377206"/>
      <w:bookmarkStart w:id="26" w:name="_Toc15396604"/>
      <w:r>
        <w:rPr>
          <w:rFonts w:hint="eastAsia" w:ascii="黑体" w:hAnsi="黑体" w:eastAsia="黑体"/>
          <w:sz w:val="32"/>
          <w:szCs w:val="32"/>
        </w:rPr>
        <w:t>收</w:t>
      </w:r>
      <w:r>
        <w:rPr>
          <w:rStyle w:val="30"/>
          <w:rFonts w:hint="eastAsia" w:ascii="黑体" w:hAnsi="黑体" w:eastAsia="黑体"/>
          <w:b w:val="0"/>
        </w:rPr>
        <w:t>入决算情况说明</w:t>
      </w:r>
      <w:bookmarkEnd w:id="25"/>
      <w:bookmarkEnd w:id="26"/>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22年本年收入合计1328.55万元，其中：一般公共预算财政拨款收入1328.55万元，占100</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drawing>
          <wp:inline distT="0" distB="0" distL="114300" distR="114300">
            <wp:extent cx="2873375" cy="2044700"/>
            <wp:effectExtent l="0" t="0" r="6985" b="12700"/>
            <wp:docPr id="2" name="图片 2" descr="169286686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2866866730"/>
                    <pic:cNvPicPr>
                      <a:picLocks noChangeAspect="1"/>
                    </pic:cNvPicPr>
                  </pic:nvPicPr>
                  <pic:blipFill>
                    <a:blip r:embed="rId7"/>
                    <a:stretch>
                      <a:fillRect/>
                    </a:stretch>
                  </pic:blipFill>
                  <pic:spPr>
                    <a:xfrm>
                      <a:off x="0" y="0"/>
                      <a:ext cx="2873375" cy="2044700"/>
                    </a:xfrm>
                    <a:prstGeom prst="rect">
                      <a:avLst/>
                    </a:prstGeom>
                  </pic:spPr>
                </pic:pic>
              </a:graphicData>
            </a:graphic>
          </wp:inline>
        </w:drawing>
      </w:r>
    </w:p>
    <w:p>
      <w:pPr>
        <w:spacing w:line="600" w:lineRule="exact"/>
        <w:ind w:firstLine="1920" w:firstLineChars="600"/>
        <w:rPr>
          <w:rFonts w:ascii="仿宋_GB2312" w:eastAsia="仿宋_GB2312"/>
          <w:sz w:val="32"/>
          <w:szCs w:val="32"/>
        </w:rPr>
      </w:pPr>
      <w:r>
        <w:rPr>
          <w:rFonts w:hint="eastAsia" w:ascii="仿宋" w:hAnsi="仿宋" w:eastAsia="仿宋"/>
          <w:sz w:val="32"/>
          <w:szCs w:val="32"/>
        </w:rPr>
        <w:t>（图2：收入决算结构图）</w:t>
      </w:r>
    </w:p>
    <w:p>
      <w:pPr>
        <w:pStyle w:val="28"/>
        <w:numPr>
          <w:ilvl w:val="0"/>
          <w:numId w:val="2"/>
        </w:numPr>
        <w:spacing w:line="600" w:lineRule="exact"/>
        <w:ind w:firstLineChars="0"/>
        <w:outlineLvl w:val="1"/>
        <w:rPr>
          <w:rStyle w:val="30"/>
          <w:rFonts w:ascii="黑体" w:hAnsi="黑体" w:eastAsia="黑体"/>
          <w:b w:val="0"/>
        </w:rPr>
      </w:pPr>
      <w:bookmarkStart w:id="27" w:name="_Toc15377207"/>
      <w:bookmarkStart w:id="28" w:name="_Toc15396605"/>
      <w:r>
        <w:rPr>
          <w:rFonts w:hint="eastAsia" w:ascii="黑体" w:hAnsi="黑体" w:eastAsia="黑体"/>
          <w:sz w:val="32"/>
          <w:szCs w:val="32"/>
        </w:rPr>
        <w:t>支</w:t>
      </w:r>
      <w:r>
        <w:rPr>
          <w:rStyle w:val="30"/>
          <w:rFonts w:hint="eastAsia" w:ascii="黑体" w:hAnsi="黑体" w:eastAsia="黑体"/>
          <w:b w:val="0"/>
        </w:rPr>
        <w:t>出决算情况说明</w:t>
      </w:r>
      <w:bookmarkEnd w:id="27"/>
      <w:bookmarkEnd w:id="28"/>
    </w:p>
    <w:p>
      <w:pPr>
        <w:spacing w:line="600" w:lineRule="exact"/>
        <w:ind w:firstLine="640" w:firstLineChars="200"/>
        <w:outlineLvl w:val="1"/>
      </w:pPr>
      <w:r>
        <w:rPr>
          <w:rFonts w:ascii="仿宋" w:hAnsi="仿宋" w:eastAsia="仿宋"/>
          <w:sz w:val="32"/>
          <w:szCs w:val="32"/>
        </w:rPr>
        <w:t>20</w:t>
      </w:r>
      <w:r>
        <w:rPr>
          <w:rFonts w:hint="eastAsia" w:ascii="仿宋" w:hAnsi="仿宋" w:eastAsia="仿宋"/>
          <w:sz w:val="32"/>
          <w:szCs w:val="32"/>
        </w:rPr>
        <w:t>22年本年支出合计1328.55万元，其中：基本支出846.25万元，占63.7</w:t>
      </w:r>
      <w:r>
        <w:rPr>
          <w:rFonts w:ascii="仿宋" w:hAnsi="仿宋" w:eastAsia="仿宋"/>
          <w:sz w:val="32"/>
          <w:szCs w:val="32"/>
        </w:rPr>
        <w:t>%</w:t>
      </w:r>
      <w:r>
        <w:rPr>
          <w:rFonts w:hint="eastAsia" w:ascii="仿宋" w:hAnsi="仿宋" w:eastAsia="仿宋"/>
          <w:sz w:val="32"/>
          <w:szCs w:val="32"/>
        </w:rPr>
        <w:t>；项目支出481.81万元，占36.27</w:t>
      </w:r>
      <w:r>
        <w:rPr>
          <w:rFonts w:ascii="仿宋" w:hAnsi="仿宋" w:eastAsia="仿宋"/>
          <w:sz w:val="32"/>
          <w:szCs w:val="32"/>
        </w:rPr>
        <w:t>%</w:t>
      </w:r>
      <w:r>
        <w:rPr>
          <w:rFonts w:hint="eastAsia" w:ascii="仿宋" w:hAnsi="仿宋" w:eastAsia="仿宋"/>
          <w:sz w:val="32"/>
          <w:szCs w:val="32"/>
        </w:rPr>
        <w:t>。</w:t>
      </w:r>
    </w:p>
    <w:p>
      <w:pPr>
        <w:pStyle w:val="2"/>
        <w:spacing w:before="93"/>
      </w:pPr>
      <w:r>
        <w:rPr>
          <w:rFonts w:hint="eastAsia"/>
        </w:rPr>
        <w:t xml:space="preserve">           </w:t>
      </w:r>
      <w:r>
        <w:drawing>
          <wp:inline distT="0" distB="0" distL="114300" distR="114300">
            <wp:extent cx="2796540" cy="201168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796540" cy="2011680"/>
                    </a:xfrm>
                    <a:prstGeom prst="rect">
                      <a:avLst/>
                    </a:prstGeom>
                    <a:noFill/>
                    <a:ln>
                      <a:noFill/>
                    </a:ln>
                  </pic:spPr>
                </pic:pic>
              </a:graphicData>
            </a:graphic>
          </wp:inline>
        </w:drawing>
      </w:r>
    </w:p>
    <w:p>
      <w:pPr>
        <w:spacing w:line="600" w:lineRule="exact"/>
        <w:ind w:firstLine="1920" w:firstLineChars="6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30"/>
          <w:rFonts w:ascii="黑体" w:hAnsi="黑体" w:eastAsia="黑体"/>
          <w:b w:val="0"/>
        </w:rPr>
      </w:pPr>
      <w:bookmarkStart w:id="29" w:name="_Toc15396606"/>
      <w:bookmarkStart w:id="30"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9"/>
      <w:bookmarkEnd w:id="30"/>
    </w:p>
    <w:p>
      <w:pPr>
        <w:spacing w:line="600" w:lineRule="exact"/>
        <w:ind w:firstLine="640"/>
      </w:pPr>
      <w:r>
        <w:rPr>
          <w:rFonts w:ascii="仿宋" w:hAnsi="仿宋" w:eastAsia="仿宋"/>
          <w:sz w:val="32"/>
          <w:szCs w:val="32"/>
        </w:rPr>
        <w:t>20</w:t>
      </w:r>
      <w:r>
        <w:rPr>
          <w:rFonts w:hint="eastAsia" w:ascii="仿宋" w:hAnsi="仿宋" w:eastAsia="仿宋"/>
          <w:sz w:val="32"/>
          <w:szCs w:val="32"/>
        </w:rPr>
        <w:t>22年财政拨款收、支总计1328.55万元。与2021年相比，财政拨款收、支总计各减少674.05万元，下降33.66</w:t>
      </w:r>
      <w:r>
        <w:rPr>
          <w:rFonts w:ascii="仿宋" w:hAnsi="仿宋" w:eastAsia="仿宋"/>
          <w:sz w:val="32"/>
          <w:szCs w:val="32"/>
        </w:rPr>
        <w:t>%</w:t>
      </w:r>
      <w:r>
        <w:rPr>
          <w:rFonts w:hint="eastAsia" w:ascii="仿宋" w:hAnsi="仿宋" w:eastAsia="仿宋"/>
          <w:sz w:val="32"/>
          <w:szCs w:val="32"/>
        </w:rPr>
        <w:t>。主要变动原因是减少项目支出。</w:t>
      </w:r>
    </w:p>
    <w:p>
      <w:pPr>
        <w:pStyle w:val="2"/>
        <w:spacing w:before="93"/>
      </w:pPr>
      <w:r>
        <w:rPr>
          <w:rFonts w:hint="eastAsia"/>
        </w:rPr>
        <w:t xml:space="preserve">            </w:t>
      </w:r>
      <w:r>
        <w:drawing>
          <wp:inline distT="0" distB="0" distL="114300" distR="114300">
            <wp:extent cx="2453640" cy="2114550"/>
            <wp:effectExtent l="0" t="0" r="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453640" cy="2114550"/>
                    </a:xfrm>
                    <a:prstGeom prst="rect">
                      <a:avLst/>
                    </a:prstGeom>
                    <a:noFill/>
                    <a:ln>
                      <a:noFill/>
                    </a:ln>
                  </pic:spPr>
                </pic:pic>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30"/>
          <w:rFonts w:ascii="黑体" w:hAnsi="黑体" w:eastAsia="黑体"/>
          <w:b w:val="0"/>
        </w:rPr>
      </w:pPr>
      <w:bookmarkStart w:id="31" w:name="_Toc15377209"/>
      <w:bookmarkStart w:id="32"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1"/>
      <w:bookmarkEnd w:id="32"/>
    </w:p>
    <w:p>
      <w:pPr>
        <w:spacing w:line="600" w:lineRule="exact"/>
        <w:ind w:firstLine="643" w:firstLineChars="200"/>
        <w:outlineLvl w:val="2"/>
        <w:rPr>
          <w:rFonts w:ascii="仿宋" w:hAnsi="仿宋" w:eastAsia="仿宋"/>
          <w:b/>
          <w:sz w:val="32"/>
          <w:szCs w:val="32"/>
        </w:rPr>
      </w:pPr>
      <w:bookmarkStart w:id="33" w:name="_Toc15377210"/>
      <w:r>
        <w:rPr>
          <w:rFonts w:hint="eastAsia" w:ascii="仿宋" w:hAnsi="仿宋" w:eastAsia="仿宋"/>
          <w:b/>
          <w:sz w:val="32"/>
          <w:szCs w:val="32"/>
        </w:rPr>
        <w:t>（一）一般公共预算财政拨款支出决算总体情况</w:t>
      </w:r>
      <w:bookmarkEnd w:id="3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22年一般公共预算财政拨款支出1328.55万元，占本年支出合计的100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21年相比，一般公共预算财政拨款支出减少674.05万元，下降33.66</w:t>
      </w:r>
      <w:r>
        <w:rPr>
          <w:rFonts w:ascii="仿宋" w:hAnsi="仿宋" w:eastAsia="仿宋"/>
          <w:sz w:val="32"/>
          <w:szCs w:val="32"/>
        </w:rPr>
        <w:t>%</w:t>
      </w:r>
      <w:r>
        <w:rPr>
          <w:rFonts w:hint="eastAsia" w:ascii="仿宋" w:hAnsi="仿宋" w:eastAsia="仿宋"/>
          <w:sz w:val="32"/>
          <w:szCs w:val="32"/>
        </w:rPr>
        <w:t>。主要变动原因是减少项目支出。</w:t>
      </w:r>
    </w:p>
    <w:p>
      <w:pPr>
        <w:pStyle w:val="2"/>
        <w:spacing w:before="93"/>
        <w:rPr>
          <w:rFonts w:ascii="仿宋" w:hAnsi="仿宋" w:eastAsia="仿宋"/>
          <w:sz w:val="32"/>
          <w:szCs w:val="32"/>
        </w:rPr>
      </w:pPr>
      <w:r>
        <w:rPr>
          <w:rFonts w:hint="eastAsia"/>
        </w:rPr>
        <w:t xml:space="preserve">                  </w:t>
      </w:r>
      <w:r>
        <w:drawing>
          <wp:inline distT="0" distB="0" distL="114300" distR="114300">
            <wp:extent cx="2444115" cy="2138045"/>
            <wp:effectExtent l="0" t="0" r="9525" b="1079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2444115" cy="2138045"/>
                    </a:xfrm>
                    <a:prstGeom prst="rect">
                      <a:avLst/>
                    </a:prstGeom>
                    <a:noFill/>
                    <a:ln>
                      <a:noFill/>
                    </a:ln>
                  </pic:spPr>
                </pic:pic>
              </a:graphicData>
            </a:graphic>
          </wp:inline>
        </w:drawing>
      </w:r>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（图5：一般公共预算财政拨款支出决算变动情况）</w:t>
      </w:r>
      <w:bookmarkStart w:id="34" w:name="_Toc15377211"/>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22年一般公共预算财政拨款支出1328.55万元，主要用于以下方面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1175.36万元，占88.47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63.54万元，占4.78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w:t>
      </w:r>
      <w:r>
        <w:rPr>
          <w:rFonts w:hint="eastAsia" w:ascii="仿宋" w:hAnsi="仿宋" w:eastAsia="仿宋"/>
          <w:sz w:val="32"/>
          <w:szCs w:val="32"/>
        </w:rPr>
        <w:t>20万元，占1.51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69.16万元，占5.21</w:t>
      </w:r>
      <w:r>
        <w:rPr>
          <w:rFonts w:ascii="仿宋" w:hAnsi="仿宋" w:eastAsia="仿宋"/>
          <w:sz w:val="32"/>
          <w:szCs w:val="32"/>
        </w:rPr>
        <w:t>%</w:t>
      </w:r>
      <w:r>
        <w:rPr>
          <w:rFonts w:hint="eastAsia" w:ascii="仿宋" w:hAnsi="仿宋" w:eastAsia="仿宋"/>
          <w:sz w:val="32"/>
          <w:szCs w:val="32"/>
        </w:rPr>
        <w:t>。</w:t>
      </w:r>
    </w:p>
    <w:p>
      <w:pPr>
        <w:pStyle w:val="2"/>
        <w:spacing w:before="93"/>
      </w:pPr>
      <w:r>
        <w:rPr>
          <w:rFonts w:hint="eastAsia"/>
        </w:rPr>
        <w:t xml:space="preserve">                </w:t>
      </w:r>
      <w:r>
        <w:drawing>
          <wp:inline distT="0" distB="0" distL="114300" distR="114300">
            <wp:extent cx="3001010" cy="1974215"/>
            <wp:effectExtent l="0" t="0" r="1270"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3001010" cy="1974215"/>
                    </a:xfrm>
                    <a:prstGeom prst="rect">
                      <a:avLst/>
                    </a:prstGeom>
                    <a:noFill/>
                    <a:ln>
                      <a:noFill/>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pPr>
    </w:p>
    <w:p>
      <w:pPr>
        <w:spacing w:line="600" w:lineRule="exact"/>
        <w:ind w:firstLine="643" w:firstLineChars="200"/>
        <w:outlineLvl w:val="2"/>
        <w:rPr>
          <w:rFonts w:ascii="仿宋" w:hAnsi="仿宋" w:eastAsia="仿宋"/>
          <w:b/>
          <w:sz w:val="32"/>
          <w:szCs w:val="32"/>
        </w:rPr>
      </w:pPr>
      <w:bookmarkStart w:id="35" w:name="_Toc15377212"/>
      <w:r>
        <w:rPr>
          <w:rFonts w:hint="eastAsia" w:ascii="仿宋" w:hAnsi="仿宋" w:eastAsia="仿宋"/>
          <w:b/>
          <w:sz w:val="32"/>
          <w:szCs w:val="32"/>
        </w:rPr>
        <w:t>（三）一般公共预算财政拨款支出决算具体情况</w:t>
      </w:r>
      <w:bookmarkEnd w:id="35"/>
    </w:p>
    <w:p>
      <w:pPr>
        <w:spacing w:line="600" w:lineRule="exact"/>
        <w:ind w:firstLine="643" w:firstLineChars="200"/>
        <w:outlineLvl w:val="2"/>
        <w:rPr>
          <w:rFonts w:ascii="仿宋" w:hAnsi="仿宋" w:eastAsia="仿宋"/>
          <w:sz w:val="32"/>
          <w:szCs w:val="32"/>
        </w:rPr>
      </w:pPr>
      <w:bookmarkStart w:id="36" w:name="_Toc15377444"/>
      <w:bookmarkStart w:id="37" w:name="_Toc15377213"/>
      <w:bookmarkStart w:id="38" w:name="_Toc15378460"/>
      <w:r>
        <w:rPr>
          <w:rFonts w:hint="eastAsia" w:ascii="仿宋" w:hAnsi="仿宋" w:eastAsia="仿宋"/>
          <w:b/>
          <w:sz w:val="32"/>
          <w:szCs w:val="32"/>
        </w:rPr>
        <w:t>2022年一般公共预算支出决算数为</w:t>
      </w:r>
      <w:r>
        <w:rPr>
          <w:rFonts w:hint="eastAsia" w:ascii="仿宋" w:hAnsi="仿宋" w:eastAsia="仿宋"/>
          <w:sz w:val="32"/>
          <w:szCs w:val="32"/>
        </w:rPr>
        <w:t>1328.55，</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6"/>
      <w:bookmarkEnd w:id="37"/>
      <w:bookmarkEnd w:id="38"/>
    </w:p>
    <w:p>
      <w:pPr>
        <w:numPr>
          <w:ilvl w:val="0"/>
          <w:numId w:val="3"/>
        </w:numPr>
        <w:spacing w:line="600" w:lineRule="exact"/>
        <w:ind w:firstLine="643" w:firstLineChars="200"/>
        <w:rPr>
          <w:rStyle w:val="17"/>
          <w:rFonts w:ascii="仿宋" w:hAnsi="仿宋" w:eastAsia="仿宋"/>
          <w:b w:val="0"/>
          <w:bCs/>
          <w:sz w:val="32"/>
          <w:szCs w:val="32"/>
        </w:rPr>
      </w:pPr>
      <w:bookmarkStart w:id="39" w:name="_Toc15377214"/>
      <w:bookmarkStart w:id="40" w:name="_Toc15396608"/>
      <w:r>
        <w:rPr>
          <w:rStyle w:val="17"/>
          <w:rFonts w:hint="eastAsia" w:ascii="仿宋" w:hAnsi="仿宋" w:eastAsia="仿宋"/>
          <w:bCs/>
          <w:color w:val="000000"/>
          <w:sz w:val="32"/>
          <w:szCs w:val="32"/>
        </w:rPr>
        <w:t>一般公共服务201（类）03（款）01（项）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319.34</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pPr>
        <w:numPr>
          <w:ilvl w:val="0"/>
          <w:numId w:val="3"/>
        </w:num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一般公共服务201（类）03（款）02（项）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459.82</w:t>
      </w:r>
      <w:r>
        <w:rPr>
          <w:rStyle w:val="17"/>
          <w:rFonts w:hint="eastAsia" w:ascii="仿宋" w:hAnsi="仿宋" w:eastAsia="仿宋"/>
          <w:b w:val="0"/>
          <w:bCs/>
          <w:sz w:val="32"/>
          <w:szCs w:val="32"/>
        </w:rPr>
        <w:t>万元，完成预算100</w:t>
      </w:r>
      <w:r>
        <w:rPr>
          <w:rFonts w:ascii="仿宋" w:hAnsi="仿宋" w:eastAsia="仿宋"/>
          <w:sz w:val="32"/>
          <w:szCs w:val="32"/>
        </w:rPr>
        <w:t>%</w:t>
      </w:r>
      <w:r>
        <w:rPr>
          <w:rStyle w:val="17"/>
          <w:rFonts w:hint="eastAsia" w:ascii="仿宋" w:hAnsi="仿宋" w:eastAsia="仿宋"/>
          <w:b w:val="0"/>
          <w:bCs/>
          <w:sz w:val="32"/>
          <w:szCs w:val="32"/>
        </w:rPr>
        <w:t>。</w:t>
      </w:r>
    </w:p>
    <w:p>
      <w:pPr>
        <w:numPr>
          <w:ilvl w:val="0"/>
          <w:numId w:val="3"/>
        </w:num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一般公共服务201（类）03（款）50（项）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366.07</w:t>
      </w:r>
      <w:r>
        <w:rPr>
          <w:rStyle w:val="17"/>
          <w:rFonts w:hint="eastAsia" w:ascii="仿宋" w:hAnsi="仿宋" w:eastAsia="仿宋"/>
          <w:b w:val="0"/>
          <w:bCs/>
          <w:sz w:val="32"/>
          <w:szCs w:val="32"/>
        </w:rPr>
        <w:t>万元，完成预算100</w:t>
      </w:r>
      <w:r>
        <w:rPr>
          <w:rFonts w:ascii="仿宋" w:hAnsi="仿宋" w:eastAsia="仿宋"/>
          <w:sz w:val="32"/>
          <w:szCs w:val="32"/>
        </w:rPr>
        <w:t>%</w:t>
      </w:r>
      <w:r>
        <w:rPr>
          <w:rStyle w:val="17"/>
          <w:rFonts w:hint="eastAsia" w:ascii="仿宋" w:hAnsi="仿宋" w:eastAsia="仿宋"/>
          <w:b w:val="0"/>
          <w:bCs/>
          <w:sz w:val="32"/>
          <w:szCs w:val="32"/>
        </w:rPr>
        <w:t>。</w:t>
      </w:r>
    </w:p>
    <w:p>
      <w:pPr>
        <w:numPr>
          <w:ilvl w:val="0"/>
          <w:numId w:val="3"/>
        </w:num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一般公共服务201（类）32（款）99（项）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2</w:t>
      </w:r>
      <w:r>
        <w:rPr>
          <w:rStyle w:val="17"/>
          <w:rFonts w:hint="eastAsia" w:ascii="仿宋" w:hAnsi="仿宋" w:eastAsia="仿宋"/>
          <w:b w:val="0"/>
          <w:bCs/>
          <w:sz w:val="32"/>
          <w:szCs w:val="32"/>
        </w:rPr>
        <w:t>万元，完成预算100</w:t>
      </w:r>
      <w:r>
        <w:rPr>
          <w:rFonts w:ascii="仿宋" w:hAnsi="仿宋" w:eastAsia="仿宋"/>
          <w:sz w:val="32"/>
          <w:szCs w:val="32"/>
        </w:rPr>
        <w:t>%</w:t>
      </w:r>
      <w:r>
        <w:rPr>
          <w:rStyle w:val="17"/>
          <w:rFonts w:hint="eastAsia" w:ascii="仿宋" w:hAnsi="仿宋" w:eastAsia="仿宋"/>
          <w:b w:val="0"/>
          <w:bCs/>
          <w:sz w:val="32"/>
          <w:szCs w:val="32"/>
        </w:rPr>
        <w:t>。</w:t>
      </w:r>
    </w:p>
    <w:p>
      <w:pPr>
        <w:numPr>
          <w:ilvl w:val="0"/>
          <w:numId w:val="3"/>
        </w:num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一般公共服务208（类）05（款）01（项）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2.82</w:t>
      </w:r>
      <w:r>
        <w:rPr>
          <w:rStyle w:val="17"/>
          <w:rFonts w:hint="eastAsia" w:ascii="仿宋" w:hAnsi="仿宋" w:eastAsia="仿宋"/>
          <w:b w:val="0"/>
          <w:bCs/>
          <w:sz w:val="32"/>
          <w:szCs w:val="32"/>
        </w:rPr>
        <w:t>万元，完成预算100</w:t>
      </w:r>
      <w:r>
        <w:rPr>
          <w:rFonts w:ascii="仿宋" w:hAnsi="仿宋" w:eastAsia="仿宋"/>
          <w:sz w:val="32"/>
          <w:szCs w:val="32"/>
        </w:rPr>
        <w:t>%</w:t>
      </w:r>
      <w:r>
        <w:rPr>
          <w:rStyle w:val="17"/>
          <w:rFonts w:hint="eastAsia" w:ascii="仿宋" w:hAnsi="仿宋" w:eastAsia="仿宋"/>
          <w:b w:val="0"/>
          <w:bCs/>
          <w:sz w:val="32"/>
          <w:szCs w:val="32"/>
        </w:rPr>
        <w:t>。</w:t>
      </w:r>
    </w:p>
    <w:p>
      <w:pPr>
        <w:numPr>
          <w:ilvl w:val="0"/>
          <w:numId w:val="3"/>
        </w:numPr>
        <w:spacing w:line="600" w:lineRule="exact"/>
        <w:ind w:firstLine="643" w:firstLineChars="200"/>
        <w:rPr>
          <w:rStyle w:val="17"/>
          <w:rFonts w:ascii="仿宋" w:hAnsi="仿宋" w:eastAsia="仿宋" w:cstheme="minorBidi"/>
          <w:b w:val="0"/>
          <w:bCs/>
          <w:sz w:val="32"/>
          <w:szCs w:val="32"/>
        </w:rPr>
      </w:pPr>
      <w:r>
        <w:rPr>
          <w:rStyle w:val="17"/>
          <w:rFonts w:hint="eastAsia" w:ascii="仿宋" w:hAnsi="仿宋" w:eastAsia="仿宋" w:cstheme="minorBidi"/>
          <w:bCs/>
          <w:color w:val="000000"/>
          <w:sz w:val="32"/>
          <w:szCs w:val="32"/>
        </w:rPr>
        <w:t xml:space="preserve">一般公共服务208（类）05（款）02（项）: </w:t>
      </w:r>
      <w:r>
        <w:rPr>
          <w:rStyle w:val="17"/>
          <w:rFonts w:hint="eastAsia" w:ascii="仿宋" w:hAnsi="仿宋" w:eastAsia="仿宋" w:cstheme="minorBidi"/>
          <w:b w:val="0"/>
          <w:bCs/>
          <w:sz w:val="32"/>
          <w:szCs w:val="32"/>
        </w:rPr>
        <w:t>支出决算为4.61万元，完成预算100%。</w:t>
      </w:r>
    </w:p>
    <w:p>
      <w:pPr>
        <w:numPr>
          <w:ilvl w:val="0"/>
          <w:numId w:val="3"/>
        </w:num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一般公共服务208（类）05（款）05（项）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56.11</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pPr>
        <w:numPr>
          <w:ilvl w:val="0"/>
          <w:numId w:val="3"/>
        </w:num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一般公共服务212（类）03（款）99（项）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20</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pPr>
        <w:numPr>
          <w:ilvl w:val="0"/>
          <w:numId w:val="3"/>
        </w:numPr>
        <w:spacing w:line="600" w:lineRule="exact"/>
        <w:ind w:firstLine="643" w:firstLineChars="200"/>
        <w:rPr>
          <w:rFonts w:ascii="仿宋" w:hAnsi="仿宋" w:eastAsia="仿宋"/>
          <w:b/>
          <w:sz w:val="32"/>
          <w:szCs w:val="32"/>
        </w:rPr>
      </w:pPr>
      <w:r>
        <w:rPr>
          <w:rStyle w:val="17"/>
          <w:rFonts w:hint="eastAsia" w:ascii="仿宋" w:hAnsi="仿宋" w:eastAsia="仿宋"/>
          <w:bCs/>
          <w:color w:val="000000"/>
          <w:sz w:val="32"/>
          <w:szCs w:val="32"/>
        </w:rPr>
        <w:t>一般公共服务221（类）02（款）01（项）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69.16</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pPr>
        <w:tabs>
          <w:tab w:val="right" w:pos="8306"/>
        </w:tabs>
        <w:spacing w:line="600" w:lineRule="exact"/>
        <w:ind w:firstLine="640"/>
        <w:outlineLvl w:val="1"/>
        <w:rPr>
          <w:rStyle w:val="30"/>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9"/>
      <w:bookmarkEnd w:id="40"/>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22年一般公共预算财政拨款基本支出846.25万元，其中：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771.19万元，主要包括：基本工资、津贴补贴、奖金、伙食补助费、绩效工资、机关事业单位基本养老保险缴费、职业年金缴费、其他社会保障缴费、其他工资福利支出、退休费、生活补助、医疗费补助、住房公积金。　</w:t>
      </w:r>
      <w:r>
        <w:rPr>
          <w:rFonts w:ascii="仿宋" w:hAnsi="仿宋" w:eastAsia="仿宋"/>
          <w:sz w:val="32"/>
          <w:szCs w:val="32"/>
        </w:rPr>
        <w:br w:type="textWrapping"/>
      </w:r>
      <w:r>
        <w:rPr>
          <w:rFonts w:hint="eastAsia" w:ascii="仿宋" w:hAnsi="仿宋" w:eastAsia="仿宋"/>
          <w:sz w:val="32"/>
          <w:szCs w:val="32"/>
        </w:rPr>
        <w:t>　　公用经费75.06万元，主要包括：办公费、邮电费、差旅费、会议费、公务接待费、工会经费、福利费、公务用车运行维护费、其他交通费、其他商品和服务支出。</w:t>
      </w:r>
    </w:p>
    <w:p>
      <w:pPr>
        <w:spacing w:line="600" w:lineRule="exact"/>
        <w:ind w:firstLine="640"/>
        <w:outlineLvl w:val="1"/>
        <w:rPr>
          <w:rStyle w:val="30"/>
          <w:rFonts w:ascii="黑体" w:hAnsi="黑体" w:eastAsia="黑体"/>
          <w:b w:val="0"/>
        </w:rPr>
      </w:pPr>
      <w:bookmarkStart w:id="41" w:name="_Toc15396609"/>
      <w:bookmarkStart w:id="42"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41"/>
      <w:bookmarkEnd w:id="42"/>
    </w:p>
    <w:p>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22年“三公”经费财政拨款支出决算为2.99万元，完成预算71.19</w:t>
      </w:r>
      <w:r>
        <w:rPr>
          <w:rFonts w:ascii="仿宋" w:hAnsi="仿宋" w:eastAsia="仿宋"/>
          <w:sz w:val="32"/>
          <w:szCs w:val="32"/>
        </w:rPr>
        <w:t>%</w:t>
      </w:r>
      <w:r>
        <w:rPr>
          <w:rFonts w:hint="eastAsia" w:ascii="仿宋" w:hAnsi="仿宋" w:eastAsia="仿宋"/>
          <w:sz w:val="32"/>
          <w:szCs w:val="32"/>
        </w:rPr>
        <w:t>，决算数小于预算数单位厉行节俭，根据工作实际严控三公经费。</w:t>
      </w:r>
    </w:p>
    <w:p>
      <w:pPr>
        <w:spacing w:line="600" w:lineRule="exact"/>
        <w:ind w:firstLine="640"/>
        <w:outlineLvl w:val="2"/>
        <w:rPr>
          <w:rFonts w:ascii="仿宋" w:hAnsi="仿宋" w:eastAsia="仿宋"/>
          <w:b/>
          <w:sz w:val="32"/>
          <w:szCs w:val="32"/>
        </w:rPr>
      </w:pPr>
      <w:bookmarkStart w:id="44" w:name="_Toc15377217"/>
      <w:r>
        <w:rPr>
          <w:rFonts w:hint="eastAsia" w:ascii="仿宋" w:hAnsi="仿宋" w:eastAsia="仿宋"/>
          <w:b/>
          <w:sz w:val="32"/>
          <w:szCs w:val="32"/>
        </w:rPr>
        <w:t>（二）“三公”经费财政拨款支出决算具体情况说明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；公务用车购置及运行维护费支出决算2.63万元，占87.96</w:t>
      </w:r>
      <w:r>
        <w:rPr>
          <w:rFonts w:ascii="仿宋" w:hAnsi="仿宋" w:eastAsia="仿宋"/>
          <w:sz w:val="32"/>
          <w:szCs w:val="32"/>
        </w:rPr>
        <w:t>%</w:t>
      </w:r>
      <w:r>
        <w:rPr>
          <w:rFonts w:hint="eastAsia" w:ascii="仿宋" w:hAnsi="仿宋" w:eastAsia="仿宋"/>
          <w:sz w:val="32"/>
          <w:szCs w:val="32"/>
        </w:rPr>
        <w:t>；公务接待费支出决算0.35万元，占11.71</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rPr>
          <w:rFonts w:hint="eastAsia"/>
        </w:rPr>
        <w:t xml:space="preserve">                </w:t>
      </w:r>
      <w:r>
        <w:drawing>
          <wp:inline distT="0" distB="0" distL="114300" distR="114300">
            <wp:extent cx="1711325" cy="1294765"/>
            <wp:effectExtent l="0" t="0" r="10795" b="6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2"/>
                    <a:stretch>
                      <a:fillRect/>
                    </a:stretch>
                  </pic:blipFill>
                  <pic:spPr>
                    <a:xfrm>
                      <a:off x="0" y="0"/>
                      <a:ext cx="1711325" cy="1294765"/>
                    </a:xfrm>
                    <a:prstGeom prst="rect">
                      <a:avLst/>
                    </a:prstGeom>
                    <a:noFill/>
                    <a:ln>
                      <a:noFill/>
                    </a:ln>
                  </pic:spPr>
                </pic:pic>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2.63万元,</w:t>
      </w:r>
      <w:r>
        <w:rPr>
          <w:rStyle w:val="17"/>
          <w:rFonts w:hint="eastAsia" w:ascii="仿宋" w:hAnsi="仿宋" w:eastAsia="仿宋"/>
          <w:b w:val="0"/>
          <w:bCs/>
          <w:sz w:val="32"/>
          <w:szCs w:val="32"/>
        </w:rPr>
        <w:t>完成预算81.17</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lang w:eastAsia="zh-CN"/>
        </w:rPr>
        <w:t>，</w:t>
      </w:r>
      <w:bookmarkStart w:id="73" w:name="_GoBack"/>
      <w:bookmarkEnd w:id="73"/>
      <w:r>
        <w:rPr>
          <w:rFonts w:hint="eastAsia" w:ascii="仿宋_GB2312" w:eastAsia="仿宋_GB2312"/>
          <w:sz w:val="32"/>
          <w:szCs w:val="32"/>
        </w:rPr>
        <w:t>2022年无公务用车购置费。</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月底，单位共有公务用车2辆，其中：轿车2辆。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2.63万元。主要用于矿产资源现场</w:t>
      </w:r>
      <w:r>
        <w:rPr>
          <w:rFonts w:hint="eastAsia" w:ascii="仿宋_GB2312" w:hAnsi="仿宋" w:eastAsia="仿宋_GB2312" w:cs="仿宋"/>
          <w:color w:val="000000"/>
          <w:sz w:val="32"/>
          <w:szCs w:val="32"/>
        </w:rPr>
        <w:t>勘察</w:t>
      </w:r>
      <w:r>
        <w:rPr>
          <w:rFonts w:hint="eastAsia" w:ascii="仿宋_GB2312" w:eastAsia="仿宋_GB2312"/>
          <w:sz w:val="32"/>
          <w:szCs w:val="32"/>
        </w:rPr>
        <w:t>、政务服务等工作所需的公务用车燃料费、维修费、过路过桥费、保险费等支出。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0.35万元，</w:t>
      </w:r>
      <w:r>
        <w:rPr>
          <w:rStyle w:val="17"/>
          <w:rFonts w:hint="eastAsia" w:ascii="仿宋" w:hAnsi="仿宋" w:eastAsia="仿宋"/>
          <w:b w:val="0"/>
          <w:bCs/>
          <w:sz w:val="32"/>
          <w:szCs w:val="32"/>
        </w:rPr>
        <w:t>完成预算36.45</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21年减少0.25万元，下降41.67</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单位厉行节俭，根据工作实际严控接待标准和范围</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0.35</w:t>
      </w:r>
      <w:r>
        <w:rPr>
          <w:rFonts w:hint="eastAsia" w:ascii="仿宋_GB2312" w:eastAsia="仿宋_GB2312"/>
          <w:sz w:val="32"/>
          <w:szCs w:val="32"/>
        </w:rPr>
        <w:t>万元，主要用于全省“示范便民服务中心”验收评估工作、考察学习“一网通办”相关工作的接待。国内公务接待2批次，15人次（不包括陪同人员），共计支出0.36万元，具体内容包括：2021年12月全省“示范便民服务中心”验收评估工作，接待7人，支出1800元；2022年5月，雅安市政务服务和大数据局赴攀考察学习“一网通办”相关工作，接待8人，支出1790元。</w:t>
      </w:r>
    </w:p>
    <w:p>
      <w:pPr>
        <w:spacing w:line="600" w:lineRule="exact"/>
        <w:ind w:firstLine="640"/>
        <w:rPr>
          <w:rFonts w:ascii="仿宋_GB2312" w:eastAsia="仿宋_GB2312"/>
          <w:sz w:val="32"/>
          <w:szCs w:val="32"/>
        </w:rPr>
      </w:pP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5" w:name="_Toc15377218"/>
      <w:bookmarkStart w:id="46" w:name="_Toc15396610"/>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30"/>
          <w:rFonts w:ascii="黑体" w:hAnsi="黑体" w:eastAsia="黑体"/>
          <w:b w:val="0"/>
        </w:rPr>
      </w:pPr>
      <w:bookmarkStart w:id="47" w:name="_Toc15396611"/>
      <w:bookmarkStart w:id="48" w:name="_Toc15377219"/>
      <w:r>
        <w:rPr>
          <w:rStyle w:val="30"/>
          <w:rFonts w:hint="eastAsia" w:ascii="黑体" w:hAnsi="黑体" w:eastAsia="黑体"/>
          <w:b w:val="0"/>
        </w:rPr>
        <w:t>国有资本经营预算支出决算情况说明</w:t>
      </w:r>
      <w:bookmarkEnd w:id="47"/>
      <w:bookmarkEnd w:id="4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30"/>
          <w:rFonts w:ascii="黑体" w:hAnsi="黑体" w:eastAsia="黑体"/>
          <w:b w:val="0"/>
        </w:rPr>
      </w:pPr>
      <w:bookmarkStart w:id="49" w:name="_Toc15396612"/>
      <w:bookmarkStart w:id="50" w:name="_Toc15377221"/>
      <w:r>
        <w:rPr>
          <w:rStyle w:val="30"/>
          <w:rFonts w:hint="eastAsia" w:ascii="黑体" w:hAnsi="黑体" w:eastAsia="黑体"/>
          <w:b w:val="0"/>
        </w:rPr>
        <w:t>其他重要事项的情况说明</w:t>
      </w:r>
      <w:bookmarkEnd w:id="49"/>
      <w:bookmarkEnd w:id="50"/>
    </w:p>
    <w:p>
      <w:pPr>
        <w:spacing w:line="600" w:lineRule="exact"/>
        <w:ind w:firstLine="643" w:firstLineChars="200"/>
        <w:outlineLvl w:val="2"/>
        <w:rPr>
          <w:rFonts w:ascii="仿宋" w:hAnsi="仿宋" w:eastAsia="仿宋"/>
          <w:sz w:val="32"/>
          <w:szCs w:val="32"/>
        </w:rPr>
      </w:pPr>
      <w:bookmarkStart w:id="51" w:name="_Toc15377222"/>
      <w:r>
        <w:rPr>
          <w:rFonts w:hint="eastAsia" w:ascii="仿宋" w:hAnsi="仿宋" w:eastAsia="仿宋"/>
          <w:b/>
          <w:sz w:val="32"/>
          <w:szCs w:val="32"/>
        </w:rPr>
        <w:t>（一）机关运行经费支出情况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攀枝花市政务服务管理局</w:t>
      </w:r>
      <w:r>
        <w:rPr>
          <w:rFonts w:hint="eastAsia" w:ascii="仿宋_GB2312" w:eastAsia="仿宋_GB2312"/>
          <w:sz w:val="32"/>
          <w:szCs w:val="32"/>
        </w:rPr>
        <w:t>机关运行经费支出75.06万元，比</w:t>
      </w:r>
      <w:r>
        <w:rPr>
          <w:rFonts w:ascii="仿宋_GB2312" w:eastAsia="仿宋_GB2312"/>
          <w:sz w:val="32"/>
          <w:szCs w:val="32"/>
        </w:rPr>
        <w:t>20</w:t>
      </w:r>
      <w:r>
        <w:rPr>
          <w:rFonts w:hint="eastAsia" w:ascii="仿宋_GB2312" w:eastAsia="仿宋_GB2312"/>
          <w:sz w:val="32"/>
          <w:szCs w:val="32"/>
        </w:rPr>
        <w:t>21年增加26.02万元，增长54.16</w:t>
      </w:r>
      <w:r>
        <w:rPr>
          <w:rFonts w:ascii="仿宋_GB2312" w:eastAsia="仿宋_GB2312"/>
          <w:sz w:val="32"/>
          <w:szCs w:val="32"/>
        </w:rPr>
        <w:t>%</w:t>
      </w:r>
      <w:r>
        <w:rPr>
          <w:rFonts w:hint="eastAsia" w:ascii="仿宋_GB2312" w:eastAsia="仿宋_GB2312"/>
          <w:sz w:val="32"/>
          <w:szCs w:val="32"/>
        </w:rPr>
        <w:t>。主要原因是2022年单位职工人数，工作开展所需的办公费及差旅费等增加。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3"/>
      <w:r>
        <w:rPr>
          <w:rFonts w:hint="eastAsia" w:ascii="仿宋" w:hAnsi="仿宋" w:eastAsia="仿宋"/>
          <w:b/>
          <w:sz w:val="32"/>
          <w:szCs w:val="32"/>
        </w:rPr>
        <w:t>（二）政府采购支出情况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攀枝花市政务服务管理局</w:t>
      </w:r>
      <w:r>
        <w:rPr>
          <w:rFonts w:hint="eastAsia" w:ascii="仿宋_GB2312" w:eastAsia="仿宋_GB2312"/>
          <w:sz w:val="32"/>
          <w:szCs w:val="32"/>
        </w:rPr>
        <w:t>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4"/>
      <w:r>
        <w:rPr>
          <w:rFonts w:hint="eastAsia" w:ascii="仿宋" w:hAnsi="仿宋" w:eastAsia="仿宋"/>
          <w:b/>
          <w:sz w:val="32"/>
          <w:szCs w:val="32"/>
        </w:rPr>
        <w:t>（三）国有资产占有使用情况</w:t>
      </w:r>
      <w:bookmarkEnd w:id="5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攀枝花市政务服务管理局</w:t>
      </w:r>
      <w:r>
        <w:rPr>
          <w:rFonts w:hint="eastAsia" w:ascii="仿宋_GB2312" w:eastAsia="仿宋_GB2312"/>
          <w:sz w:val="32"/>
          <w:szCs w:val="32"/>
        </w:rPr>
        <w:t>共有车辆2辆，其中：主要领导干部用车0辆、机要通信用车0辆、应急保障用车0辆、其他用车2辆，其他用车主要是用于执行公务。单价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根据预算绩效管理要求，本部门在2022年度预算编制阶段，组织对大厅维护费项目等8个项目开展了预算事前绩效评估，对8个项目编制了绩效目标，预算执行过程中，选取8个项目开展绩效监控。</w:t>
      </w:r>
    </w:p>
    <w:p>
      <w:pPr>
        <w:widowControl/>
        <w:spacing w:line="560" w:lineRule="exact"/>
        <w:ind w:firstLine="640" w:firstLineChars="200"/>
        <w:contextualSpacing/>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2022年攀枝花市政务服务管理局部门整体绩效评价报告，其中，攀枝花市政务服务管理局部门整体（含部门预算项目）绩效自评得分为96分，绩效自评综述：</w:t>
      </w:r>
      <w:r>
        <w:rPr>
          <w:rFonts w:hint="eastAsia" w:ascii="仿宋_GB2312" w:eastAsia="仿宋_GB2312"/>
          <w:sz w:val="32"/>
          <w:szCs w:val="32"/>
        </w:rPr>
        <w:t>绩效目标全面完成</w:t>
      </w:r>
      <w:r>
        <w:rPr>
          <w:rFonts w:hint="eastAsia" w:ascii="仿宋_GB2312" w:hAnsi="仿宋_GB2312" w:eastAsia="仿宋_GB2312" w:cs="仿宋_GB2312"/>
          <w:sz w:val="32"/>
          <w:szCs w:val="32"/>
        </w:rPr>
        <w:t>；8个专项预算项目绩效自评得分为96分，绩效自评综述：</w:t>
      </w:r>
      <w:r>
        <w:rPr>
          <w:rFonts w:hint="eastAsia" w:ascii="仿宋_GB2312" w:eastAsia="仿宋_GB2312"/>
          <w:sz w:val="32"/>
          <w:szCs w:val="32"/>
        </w:rPr>
        <w:t>绩效目标全面完成</w:t>
      </w:r>
      <w:r>
        <w:rPr>
          <w:rFonts w:hint="eastAsia" w:ascii="仿宋_GB2312" w:hAnsi="仿宋_GB2312" w:eastAsia="仿宋_GB2312" w:cs="仿宋_GB2312"/>
          <w:sz w:val="32"/>
          <w:szCs w:val="32"/>
        </w:rPr>
        <w:t>。绩效自评报告详见附件。</w:t>
      </w: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9"/>
          <w:rFonts w:ascii="黑体" w:hAnsi="黑体" w:eastAsia="黑体"/>
          <w:b w:val="0"/>
        </w:rPr>
      </w:pPr>
      <w:bookmarkStart w:id="54" w:name="_Toc15396613"/>
      <w:bookmarkStart w:id="55" w:name="_Toc15377225"/>
      <w:r>
        <w:rPr>
          <w:rFonts w:hint="eastAsia" w:ascii="黑体" w:hAnsi="黑体" w:eastAsia="黑体"/>
          <w:sz w:val="44"/>
          <w:szCs w:val="44"/>
        </w:rPr>
        <w:t>名</w:t>
      </w:r>
      <w:r>
        <w:rPr>
          <w:rStyle w:val="29"/>
          <w:rFonts w:hint="eastAsia" w:ascii="黑体" w:hAnsi="黑体" w:eastAsia="黑体"/>
          <w:b w:val="0"/>
        </w:rPr>
        <w:t>词解释</w:t>
      </w:r>
      <w:bookmarkEnd w:id="54"/>
      <w:bookmarkEnd w:id="55"/>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一般公共服务（类）03（款）01（项）：指行政单位（包括实行公务员管理的事业单位）的基本支出。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3.一般公共服务（类）03（款）02（项）：指行政单位（包括实行公务员管理的事业单位）提供未单独设置项级科目的其他项目支出。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4.一般公共服务（类）03（款）50（项）：指事业单位的基本支出，不包括行政单位（包括实行公务员管理的事业单位）后勤服务中心、医务室等附属事业单位。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5.一般公共服务（类）03（款）99（项）：指除上述项目以外的其他政府办公厅（室）及相关机构事务支出。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 w:hAnsi="仿宋" w:eastAsia="仿宋"/>
          <w:bCs/>
          <w:color w:val="000000"/>
          <w:sz w:val="32"/>
          <w:szCs w:val="32"/>
        </w:rPr>
        <w:t xml:space="preserve"> </w:t>
      </w:r>
      <w:r>
        <w:rPr>
          <w:rStyle w:val="17"/>
          <w:rFonts w:hint="eastAsia" w:ascii="仿宋" w:hAnsi="仿宋" w:eastAsia="仿宋"/>
          <w:b w:val="0"/>
          <w:bCs/>
          <w:color w:val="000000"/>
          <w:sz w:val="32"/>
          <w:szCs w:val="32"/>
        </w:rPr>
        <w:t>一般公共服务（类）31（款）01（项）</w:t>
      </w:r>
      <w:r>
        <w:rPr>
          <w:rFonts w:hint="eastAsia" w:ascii="仿宋_GB2312" w:eastAsia="仿宋_GB2312"/>
          <w:color w:val="000000"/>
          <w:sz w:val="32"/>
          <w:szCs w:val="32"/>
        </w:rPr>
        <w:t>：指党委办公厅（室）及相关机构事务方面的支出。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hint="eastAsia" w:ascii="仿宋" w:hAnsi="仿宋" w:eastAsia="仿宋"/>
          <w:bCs/>
          <w:color w:val="000000"/>
          <w:sz w:val="32"/>
          <w:szCs w:val="32"/>
        </w:rPr>
        <w:t xml:space="preserve"> </w:t>
      </w:r>
      <w:r>
        <w:rPr>
          <w:rStyle w:val="17"/>
          <w:rFonts w:hint="eastAsia" w:ascii="仿宋" w:hAnsi="仿宋" w:eastAsia="仿宋"/>
          <w:b w:val="0"/>
          <w:bCs/>
          <w:color w:val="000000"/>
          <w:sz w:val="32"/>
          <w:szCs w:val="32"/>
        </w:rPr>
        <w:t>一般公共服务（类）32（款）99（项）</w:t>
      </w:r>
      <w:r>
        <w:rPr>
          <w:rFonts w:hint="eastAsia" w:ascii="仿宋_GB2312" w:eastAsia="仿宋_GB2312"/>
          <w:color w:val="000000"/>
          <w:sz w:val="32"/>
          <w:szCs w:val="32"/>
        </w:rPr>
        <w:t>：指除上述项目以外其他用于中国共产党组织部门的事务支出。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社会保障和就业（类）05（款）01（项）：指实行归口管理的行政单位（包括实行公务员管理的事业单位）开支的离退休经费。</w:t>
      </w:r>
    </w:p>
    <w:p>
      <w:pPr>
        <w:ind w:firstLine="640" w:firstLineChars="200"/>
        <w:rPr>
          <w:rStyle w:val="17"/>
          <w:rFonts w:ascii="仿宋_GB2312" w:eastAsia="仿宋_GB2312"/>
          <w:b w:val="0"/>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社会保障和就业（类）05（款）05（项）：指机关事业单位实施养老保险制度由单位缴纳的基本养老保险费支出。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 xml:space="preserve"> 城乡社区支出（类）03（款）99（项）</w:t>
      </w:r>
      <w:r>
        <w:rPr>
          <w:rFonts w:ascii="仿宋_GB2312" w:eastAsia="仿宋_GB2312"/>
          <w:color w:val="000000"/>
          <w:sz w:val="32"/>
          <w:szCs w:val="32"/>
        </w:rPr>
        <w:t>:</w:t>
      </w:r>
      <w:r>
        <w:rPr>
          <w:rFonts w:hint="eastAsia" w:ascii="仿宋_GB2312" w:eastAsia="仿宋_GB2312"/>
          <w:color w:val="000000"/>
          <w:sz w:val="32"/>
          <w:szCs w:val="32"/>
        </w:rPr>
        <w:t>指行政单位医疗支出。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住房保障（类）02（款）01（项）：指住房公积金支出。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9"/>
          <w:rFonts w:ascii="黑体" w:hAnsi="黑体" w:eastAsia="黑体"/>
          <w:b w:val="0"/>
        </w:rPr>
      </w:pPr>
      <w:bookmarkStart w:id="56" w:name="_Toc15377226"/>
      <w:r>
        <w:rPr>
          <w:rFonts w:ascii="宋体"/>
          <w:b/>
          <w:sz w:val="44"/>
          <w:szCs w:val="44"/>
        </w:rPr>
        <w:br w:type="page"/>
      </w:r>
      <w:bookmarkStart w:id="57" w:name="_Toc15396614"/>
      <w:r>
        <w:rPr>
          <w:rFonts w:hint="eastAsia" w:ascii="黑体" w:hAnsi="黑体" w:eastAsia="黑体"/>
          <w:sz w:val="44"/>
          <w:szCs w:val="44"/>
        </w:rPr>
        <w:t>第</w:t>
      </w:r>
      <w:r>
        <w:rPr>
          <w:rStyle w:val="29"/>
          <w:rFonts w:hint="eastAsia" w:ascii="黑体" w:hAnsi="黑体" w:eastAsia="黑体"/>
          <w:b w:val="0"/>
        </w:rPr>
        <w:t>四部分 附件</w:t>
      </w:r>
      <w:bookmarkEnd w:id="57"/>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 xml:space="preserve"> 2022年攀枝花市政务服务管理局部门整体绩效评价报告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6"/>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72" w:lineRule="exact"/>
        <w:ind w:firstLine="643" w:firstLineChars="200"/>
        <w:contextualSpacing/>
        <w:jc w:val="left"/>
        <w:rPr>
          <w:rFonts w:ascii="仿宋_GB2312" w:hAnsi="仿宋" w:eastAsia="仿宋_GB2312"/>
          <w:sz w:val="32"/>
          <w:szCs w:val="32"/>
          <w:lang w:val="zh-CN"/>
        </w:rPr>
      </w:pPr>
      <w:r>
        <w:rPr>
          <w:rFonts w:hint="eastAsia" w:ascii="楷体_GB2312" w:hAnsi="楷体_GB2312" w:eastAsia="楷体_GB2312" w:cs="楷体_GB2312"/>
          <w:b/>
          <w:bCs/>
          <w:kern w:val="0"/>
          <w:sz w:val="32"/>
          <w:szCs w:val="32"/>
          <w:shd w:val="clear" w:color="auto" w:fill="FFFFFF"/>
          <w:lang w:val="zh-CN"/>
        </w:rPr>
        <w:t>（一）机构组成。</w:t>
      </w:r>
      <w:r>
        <w:rPr>
          <w:rFonts w:ascii="仿宋_GB2312" w:hAnsi="仿宋" w:eastAsia="仿宋_GB2312"/>
          <w:sz w:val="32"/>
          <w:szCs w:val="32"/>
        </w:rPr>
        <w:t>市政务服务管理局属一级预算单位，下属2个事业单位：市政务服务中心和市公共资源交易中心。市政务服务管理局行政编制10个，工勤编制2个</w:t>
      </w:r>
      <w:r>
        <w:rPr>
          <w:rFonts w:hint="eastAsia" w:ascii="仿宋_GB2312" w:hAnsi="仿宋" w:eastAsia="仿宋_GB2312"/>
          <w:sz w:val="32"/>
          <w:szCs w:val="32"/>
        </w:rPr>
        <w:t>；</w:t>
      </w:r>
      <w:r>
        <w:rPr>
          <w:rFonts w:ascii="仿宋_GB2312" w:hAnsi="仿宋" w:eastAsia="仿宋_GB2312"/>
          <w:sz w:val="32"/>
          <w:szCs w:val="32"/>
        </w:rPr>
        <w:t>市政务中心事业编制</w:t>
      </w:r>
      <w:r>
        <w:rPr>
          <w:rFonts w:hint="eastAsia" w:ascii="仿宋_GB2312" w:hAnsi="仿宋" w:eastAsia="仿宋_GB2312"/>
          <w:sz w:val="32"/>
          <w:szCs w:val="32"/>
        </w:rPr>
        <w:t>10</w:t>
      </w:r>
      <w:r>
        <w:rPr>
          <w:rFonts w:ascii="仿宋_GB2312" w:hAnsi="仿宋" w:eastAsia="仿宋_GB2312"/>
          <w:sz w:val="32"/>
          <w:szCs w:val="32"/>
        </w:rPr>
        <w:t>个</w:t>
      </w:r>
      <w:r>
        <w:rPr>
          <w:rFonts w:hint="eastAsia" w:ascii="仿宋_GB2312" w:hAnsi="仿宋" w:eastAsia="仿宋_GB2312"/>
          <w:sz w:val="32"/>
          <w:szCs w:val="32"/>
        </w:rPr>
        <w:t>；</w:t>
      </w:r>
      <w:r>
        <w:rPr>
          <w:rFonts w:ascii="仿宋_GB2312" w:hAnsi="仿宋" w:eastAsia="仿宋_GB2312"/>
          <w:sz w:val="32"/>
          <w:szCs w:val="32"/>
        </w:rPr>
        <w:t>市公共资源交易中心编制21个。</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lang w:val="zh-CN"/>
        </w:rPr>
        <w:t>（二）机构职能</w:t>
      </w:r>
      <w:r>
        <w:rPr>
          <w:rFonts w:hint="eastAsia" w:ascii="楷体_GB2312" w:hAnsi="楷体_GB2312" w:eastAsia="楷体_GB2312" w:cs="楷体_GB2312"/>
          <w:b/>
          <w:bCs/>
          <w:kern w:val="0"/>
          <w:sz w:val="32"/>
          <w:szCs w:val="32"/>
          <w:shd w:val="clear" w:color="auto" w:fill="FFFFFF"/>
        </w:rPr>
        <w:t>和</w:t>
      </w:r>
      <w:r>
        <w:rPr>
          <w:rFonts w:hint="eastAsia" w:ascii="楷体_GB2312" w:hAnsi="楷体_GB2312" w:eastAsia="楷体_GB2312" w:cs="楷体_GB2312"/>
          <w:b/>
          <w:bCs/>
          <w:kern w:val="0"/>
          <w:sz w:val="32"/>
          <w:szCs w:val="32"/>
          <w:shd w:val="clear" w:color="auto" w:fill="FFFFFF"/>
          <w:lang w:val="zh-CN"/>
        </w:rPr>
        <w:t>人员概况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组织拟订全市政务服务、行政审批制度改革和公共资源交易管理服务发展规划、政策和措施并组织、指导实施。</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负责政务服务管理工作。指导、协调并推进全市政务服务体系建设。指导、协调和监督市级部门（单位）政务服务工作。指导、监督相关电子政务服务平台建设和运行工作。对县、区政务服务管理机构进行业务指导。</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负责指导、协调、监督并推进全市深化行政审批制度改革工作。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负责公共资源交易服务管理工作。指导、协调并推进全市公共资源交易服务体系建设，牵头负责公共资源交易主体信用体系建设。指导、协调、监督管理公共资源交易服务工作。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指导、协调、监督、考核进驻部门（单位）的政务服务工作，审核进驻政务服务事项，对部门（单位）独立设置的办事大厅进行业务指导和监督。</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按照省、市要求，指导、推进相对集中行政许可权改革。</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负责职责范围的安全生产和职业健康、生态环境保护、审批服务便民化等工作。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完成市委、市政府交办的其他任务。</w:t>
      </w:r>
    </w:p>
    <w:p>
      <w:pPr>
        <w:pStyle w:val="2"/>
        <w:adjustRightInd w:val="0"/>
        <w:snapToGrid w:val="0"/>
        <w:spacing w:before="93" w:line="600" w:lineRule="exact"/>
        <w:ind w:firstLine="672" w:firstLineChars="210"/>
        <w:outlineLvl w:val="2"/>
        <w:rPr>
          <w:rFonts w:ascii="仿宋" w:hAnsi="仿宋" w:eastAsia="仿宋"/>
          <w:bCs/>
          <w:color w:val="000000"/>
          <w:sz w:val="32"/>
          <w:szCs w:val="32"/>
        </w:rPr>
      </w:pPr>
      <w:bookmarkStart w:id="58" w:name="_Toc113530928"/>
      <w:r>
        <w:rPr>
          <w:rFonts w:hint="eastAsia" w:hAnsi="仿宋"/>
          <w:sz w:val="32"/>
          <w:szCs w:val="32"/>
        </w:rPr>
        <w:t>9.</w:t>
      </w:r>
      <w:r>
        <w:rPr>
          <w:rFonts w:hAnsi="仿宋"/>
          <w:sz w:val="32"/>
          <w:szCs w:val="32"/>
        </w:rPr>
        <w:t>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58"/>
    </w:p>
    <w:p>
      <w:pPr>
        <w:pStyle w:val="53"/>
        <w:spacing w:before="0" w:beforeAutospacing="0" w:after="0" w:afterAutospacing="0"/>
        <w:ind w:firstLine="639"/>
        <w:jc w:val="both"/>
        <w:rPr>
          <w:rFonts w:ascii="楷体_GB2312" w:hAnsi="楷体_GB2312" w:eastAsia="楷体_GB2312" w:cs="楷体_GB2312"/>
          <w:b/>
          <w:bCs/>
          <w:sz w:val="32"/>
          <w:szCs w:val="32"/>
          <w:shd w:val="clear" w:color="auto" w:fill="FFFFFF"/>
          <w:lang w:val="zh-CN"/>
        </w:rPr>
      </w:pPr>
      <w:r>
        <w:rPr>
          <w:rFonts w:hint="eastAsia" w:ascii="仿宋_GB2312" w:eastAsia="仿宋_GB2312"/>
          <w:sz w:val="32"/>
          <w:szCs w:val="32"/>
          <w:shd w:val="clear" w:color="auto" w:fill="FFFFFF"/>
        </w:rPr>
        <w:t>10.</w:t>
      </w:r>
      <w:r>
        <w:rPr>
          <w:rFonts w:hint="eastAsia" w:ascii="仿宋_GB2312" w:eastAsia="仿宋_GB2312"/>
          <w:sz w:val="32"/>
          <w:szCs w:val="32"/>
          <w:shd w:val="clear" w:color="auto" w:fill="FFFFFF"/>
          <w:lang w:val="zh-CN"/>
        </w:rPr>
        <w:t>人员概况。</w:t>
      </w:r>
      <w:r>
        <w:rPr>
          <w:rFonts w:hint="eastAsia" w:ascii="微软雅黑" w:hAnsi="微软雅黑" w:eastAsia="微软雅黑"/>
          <w:color w:val="333333"/>
          <w:sz w:val="32"/>
          <w:szCs w:val="32"/>
        </w:rPr>
        <w:t>2022</w:t>
      </w:r>
      <w:r>
        <w:rPr>
          <w:rFonts w:hint="eastAsia" w:ascii="仿宋_GB2312" w:eastAsia="仿宋_GB2312"/>
          <w:color w:val="333333"/>
          <w:sz w:val="32"/>
          <w:szCs w:val="32"/>
        </w:rPr>
        <w:t>年末实有一般公共预算财政拨款开支在职人员</w:t>
      </w:r>
      <w:r>
        <w:rPr>
          <w:rFonts w:hint="eastAsia" w:ascii="微软雅黑" w:hAnsi="微软雅黑" w:eastAsia="微软雅黑"/>
          <w:color w:val="333333"/>
          <w:sz w:val="32"/>
          <w:szCs w:val="32"/>
        </w:rPr>
        <w:t>43</w:t>
      </w:r>
      <w:r>
        <w:rPr>
          <w:rFonts w:hint="eastAsia" w:ascii="仿宋_GB2312" w:eastAsia="仿宋_GB2312"/>
          <w:color w:val="333333"/>
          <w:sz w:val="32"/>
          <w:szCs w:val="32"/>
        </w:rPr>
        <w:t>人，其中：行政人员</w:t>
      </w:r>
      <w:r>
        <w:rPr>
          <w:rFonts w:hint="eastAsia" w:ascii="微软雅黑" w:hAnsi="微软雅黑" w:eastAsia="微软雅黑"/>
          <w:color w:val="333333"/>
          <w:sz w:val="32"/>
          <w:szCs w:val="32"/>
        </w:rPr>
        <w:t>15</w:t>
      </w:r>
      <w:r>
        <w:rPr>
          <w:rFonts w:hint="eastAsia" w:ascii="仿宋_GB2312" w:eastAsia="仿宋_GB2312"/>
          <w:color w:val="333333"/>
          <w:sz w:val="32"/>
          <w:szCs w:val="32"/>
        </w:rPr>
        <w:t>人（公务员</w:t>
      </w:r>
      <w:r>
        <w:rPr>
          <w:rFonts w:hint="eastAsia" w:ascii="微软雅黑" w:hAnsi="微软雅黑" w:eastAsia="微软雅黑"/>
          <w:color w:val="333333"/>
          <w:sz w:val="32"/>
          <w:szCs w:val="32"/>
        </w:rPr>
        <w:t>14</w:t>
      </w:r>
      <w:r>
        <w:rPr>
          <w:rFonts w:hint="eastAsia" w:ascii="仿宋_GB2312" w:eastAsia="仿宋_GB2312"/>
          <w:color w:val="333333"/>
          <w:sz w:val="32"/>
          <w:szCs w:val="32"/>
        </w:rPr>
        <w:t>人、机关工勤</w:t>
      </w:r>
      <w:r>
        <w:rPr>
          <w:rFonts w:hint="eastAsia" w:ascii="微软雅黑" w:hAnsi="微软雅黑" w:eastAsia="微软雅黑"/>
          <w:color w:val="333333"/>
          <w:sz w:val="32"/>
          <w:szCs w:val="32"/>
        </w:rPr>
        <w:t>1</w:t>
      </w:r>
      <w:r>
        <w:rPr>
          <w:rFonts w:hint="eastAsia" w:ascii="仿宋_GB2312" w:eastAsia="仿宋_GB2312"/>
          <w:color w:val="333333"/>
          <w:sz w:val="32"/>
          <w:szCs w:val="32"/>
        </w:rPr>
        <w:t>人）；事业人员</w:t>
      </w:r>
      <w:r>
        <w:rPr>
          <w:rFonts w:hint="eastAsia" w:ascii="微软雅黑" w:hAnsi="微软雅黑" w:eastAsia="微软雅黑"/>
          <w:color w:val="333333"/>
          <w:sz w:val="32"/>
          <w:szCs w:val="32"/>
        </w:rPr>
        <w:t>28</w:t>
      </w:r>
      <w:r>
        <w:rPr>
          <w:rFonts w:hint="eastAsia" w:ascii="仿宋_GB2312" w:eastAsia="仿宋_GB2312"/>
          <w:color w:val="333333"/>
          <w:sz w:val="32"/>
          <w:szCs w:val="32"/>
        </w:rPr>
        <w:t>人。</w:t>
      </w:r>
      <w:r>
        <w:rPr>
          <w:rFonts w:hint="eastAsia" w:ascii="微软雅黑" w:hAnsi="微软雅黑" w:eastAsia="微软雅黑"/>
          <w:color w:val="333333"/>
          <w:sz w:val="32"/>
          <w:szCs w:val="32"/>
        </w:rPr>
        <w:t>2021</w:t>
      </w:r>
      <w:r>
        <w:rPr>
          <w:rFonts w:hint="eastAsia" w:ascii="仿宋_GB2312" w:eastAsia="仿宋_GB2312"/>
          <w:color w:val="333333"/>
          <w:sz w:val="32"/>
          <w:szCs w:val="32"/>
        </w:rPr>
        <w:t>年末实有一般公共预算财政拨款开支其他人员</w:t>
      </w:r>
      <w:r>
        <w:rPr>
          <w:rFonts w:hint="eastAsia" w:ascii="微软雅黑" w:hAnsi="微软雅黑" w:eastAsia="微软雅黑"/>
          <w:color w:val="333333"/>
          <w:sz w:val="32"/>
          <w:szCs w:val="32"/>
        </w:rPr>
        <w:t>1</w:t>
      </w:r>
      <w:r>
        <w:rPr>
          <w:rFonts w:hint="eastAsia" w:ascii="仿宋_GB2312" w:eastAsia="仿宋_GB2312"/>
          <w:color w:val="333333"/>
          <w:sz w:val="32"/>
          <w:szCs w:val="32"/>
        </w:rPr>
        <w:t>人，为按攀</w:t>
      </w:r>
      <w:r>
        <w:rPr>
          <w:rFonts w:hint="eastAsia"/>
          <w:color w:val="333333"/>
          <w:sz w:val="32"/>
          <w:szCs w:val="32"/>
        </w:rPr>
        <w:t>﹝</w:t>
      </w:r>
      <w:r>
        <w:rPr>
          <w:rFonts w:hint="eastAsia" w:ascii="微软雅黑" w:hAnsi="微软雅黑" w:eastAsia="微软雅黑"/>
          <w:color w:val="333333"/>
          <w:sz w:val="32"/>
          <w:szCs w:val="32"/>
        </w:rPr>
        <w:t>2012</w:t>
      </w:r>
      <w:r>
        <w:rPr>
          <w:rFonts w:hint="eastAsia"/>
          <w:color w:val="333333"/>
          <w:sz w:val="32"/>
          <w:szCs w:val="32"/>
        </w:rPr>
        <w:t>﹞</w:t>
      </w:r>
      <w:r>
        <w:rPr>
          <w:rFonts w:hint="eastAsia" w:ascii="微软雅黑" w:hAnsi="微软雅黑" w:eastAsia="微软雅黑"/>
          <w:color w:val="333333"/>
          <w:sz w:val="32"/>
          <w:szCs w:val="32"/>
        </w:rPr>
        <w:t>86</w:t>
      </w:r>
      <w:r>
        <w:rPr>
          <w:rFonts w:hint="eastAsia" w:ascii="仿宋_GB2312" w:eastAsia="仿宋_GB2312"/>
          <w:color w:val="333333"/>
          <w:sz w:val="32"/>
          <w:szCs w:val="32"/>
        </w:rPr>
        <w:t>号文管理司勤人员。</w:t>
      </w:r>
    </w:p>
    <w:p>
      <w:pPr>
        <w:widowControl/>
        <w:adjustRightInd w:val="0"/>
        <w:snapToGrid w:val="0"/>
        <w:spacing w:line="560" w:lineRule="exact"/>
        <w:ind w:firstLine="643" w:firstLineChars="200"/>
        <w:contextualSpacing/>
        <w:jc w:val="left"/>
        <w:rPr>
          <w:rFonts w:eastAsia="仿宋_GB2312"/>
          <w:sz w:val="32"/>
          <w:szCs w:val="32"/>
        </w:rPr>
      </w:pPr>
      <w:r>
        <w:rPr>
          <w:rFonts w:hint="eastAsia" w:ascii="楷体_GB2312" w:hAnsi="楷体_GB2312" w:eastAsia="楷体_GB2312" w:cs="楷体_GB2312"/>
          <w:b/>
          <w:bCs/>
          <w:kern w:val="0"/>
          <w:sz w:val="32"/>
          <w:szCs w:val="32"/>
          <w:shd w:val="clear" w:color="auto" w:fill="FFFFFF"/>
          <w:lang w:val="zh-CN"/>
        </w:rPr>
        <w:t>（三）年度主要工作任务。</w:t>
      </w:r>
      <w:r>
        <w:rPr>
          <w:rFonts w:hint="eastAsia" w:ascii="楷体_GB2312" w:hAnsi="楷体_GB2312" w:eastAsia="楷体_GB2312" w:cs="楷体_GB2312"/>
          <w:b/>
          <w:bCs/>
          <w:kern w:val="0"/>
          <w:sz w:val="32"/>
          <w:szCs w:val="32"/>
          <w:shd w:val="clear" w:color="auto" w:fill="FFFFFF"/>
        </w:rPr>
        <w:t>1.</w:t>
      </w:r>
      <w:r>
        <w:rPr>
          <w:rFonts w:eastAsia="仿宋_GB2312"/>
          <w:sz w:val="32"/>
          <w:szCs w:val="32"/>
        </w:rPr>
        <w:t>完成《攀枝花市市级行政权力清单（2021年本）》《攀枝花市公共服务事项基本目录（2021年版）》等“两张”清单编制公布工作</w:t>
      </w:r>
      <w:r>
        <w:rPr>
          <w:rFonts w:hint="eastAsia" w:eastAsia="仿宋_GB2312"/>
          <w:sz w:val="32"/>
          <w:szCs w:val="32"/>
        </w:rPr>
        <w:t>；2.</w:t>
      </w:r>
      <w:r>
        <w:rPr>
          <w:rFonts w:eastAsia="仿宋_GB2312"/>
          <w:sz w:val="32"/>
          <w:szCs w:val="32"/>
        </w:rPr>
        <w:t>编制公布《攀枝花市市级惠企政策目录清单（第一批）》，深入开展“送政策上门”活动</w:t>
      </w:r>
      <w:r>
        <w:rPr>
          <w:rFonts w:hint="eastAsia" w:eastAsia="仿宋_GB2312"/>
          <w:sz w:val="32"/>
          <w:szCs w:val="32"/>
        </w:rPr>
        <w:t>；3.</w:t>
      </w:r>
      <w:r>
        <w:rPr>
          <w:rFonts w:eastAsia="仿宋_GB2312"/>
          <w:sz w:val="32"/>
          <w:szCs w:val="32"/>
        </w:rPr>
        <w:t>持续深化“放管服”改革</w:t>
      </w:r>
      <w:r>
        <w:rPr>
          <w:rFonts w:hint="eastAsia" w:eastAsia="仿宋_GB2312"/>
          <w:sz w:val="32"/>
          <w:szCs w:val="32"/>
        </w:rPr>
        <w:t>；4.</w:t>
      </w:r>
      <w:r>
        <w:rPr>
          <w:rFonts w:eastAsia="仿宋_GB2312"/>
          <w:sz w:val="32"/>
          <w:szCs w:val="32"/>
        </w:rPr>
        <w:t>加快推进网上政务服务能力建设</w:t>
      </w:r>
      <w:r>
        <w:rPr>
          <w:rFonts w:hint="eastAsia" w:eastAsia="仿宋_GB2312"/>
          <w:sz w:val="32"/>
          <w:szCs w:val="32"/>
        </w:rPr>
        <w:t>；5.</w:t>
      </w:r>
      <w:r>
        <w:rPr>
          <w:rFonts w:eastAsia="仿宋_GB2312"/>
          <w:sz w:val="32"/>
          <w:shd w:val="clear" w:color="auto" w:fill="FFFFFF"/>
        </w:rPr>
        <w:t>强化重点项目审批保障</w:t>
      </w:r>
      <w:r>
        <w:rPr>
          <w:rFonts w:hint="eastAsia" w:eastAsia="仿宋_GB2312"/>
          <w:sz w:val="32"/>
          <w:shd w:val="clear" w:color="auto" w:fill="FFFFFF"/>
        </w:rPr>
        <w:t>；6.</w:t>
      </w:r>
      <w:r>
        <w:rPr>
          <w:rFonts w:eastAsia="仿宋_GB2312"/>
          <w:sz w:val="32"/>
          <w:shd w:val="clear" w:color="auto" w:fill="FFFFFF"/>
        </w:rPr>
        <w:t>深入推进“无差别综合窗口”改革</w:t>
      </w:r>
      <w:r>
        <w:rPr>
          <w:rFonts w:hint="eastAsia" w:eastAsia="仿宋_GB2312"/>
          <w:sz w:val="32"/>
          <w:shd w:val="clear" w:color="auto" w:fill="FFFFFF"/>
        </w:rPr>
        <w:t>；7.</w:t>
      </w:r>
      <w:r>
        <w:rPr>
          <w:rFonts w:eastAsia="仿宋_GB2312"/>
          <w:sz w:val="32"/>
          <w:shd w:val="clear" w:color="auto" w:fill="FFFFFF"/>
        </w:rPr>
        <w:t>推出新生儿“全生育周期一件事”</w:t>
      </w:r>
      <w:r>
        <w:rPr>
          <w:rFonts w:hint="eastAsia" w:eastAsia="仿宋_GB2312"/>
          <w:sz w:val="32"/>
          <w:shd w:val="clear" w:color="auto" w:fill="FFFFFF"/>
        </w:rPr>
        <w:t>；8.</w:t>
      </w:r>
      <w:r>
        <w:rPr>
          <w:rFonts w:eastAsia="仿宋_GB2312"/>
          <w:sz w:val="32"/>
          <w:shd w:val="clear" w:color="auto" w:fill="FFFFFF"/>
        </w:rPr>
        <w:t>实施“既有住宅增设电梯”审批专窗改革</w:t>
      </w:r>
      <w:r>
        <w:rPr>
          <w:rFonts w:hint="eastAsia" w:eastAsia="仿宋_GB2312"/>
          <w:sz w:val="32"/>
          <w:shd w:val="clear" w:color="auto" w:fill="FFFFFF"/>
        </w:rPr>
        <w:t>；9.</w:t>
      </w:r>
      <w:r>
        <w:rPr>
          <w:rFonts w:eastAsia="仿宋_GB2312"/>
          <w:sz w:val="32"/>
          <w:shd w:val="clear" w:color="auto" w:fill="FFFFFF"/>
        </w:rPr>
        <w:t>推进镇村便民服务体系“三化”建设试点</w:t>
      </w:r>
      <w:r>
        <w:rPr>
          <w:rFonts w:hint="eastAsia" w:eastAsia="仿宋_GB2312"/>
          <w:sz w:val="32"/>
          <w:shd w:val="clear" w:color="auto" w:fill="FFFFFF"/>
        </w:rPr>
        <w:t>；10.</w:t>
      </w:r>
      <w:r>
        <w:rPr>
          <w:rFonts w:eastAsia="仿宋_GB2312"/>
          <w:sz w:val="32"/>
          <w:szCs w:val="32"/>
        </w:rPr>
        <w:t>推进政务服务“一体通办”</w:t>
      </w:r>
      <w:r>
        <w:rPr>
          <w:rFonts w:hint="eastAsia" w:eastAsia="仿宋_GB2312"/>
          <w:sz w:val="32"/>
          <w:szCs w:val="32"/>
        </w:rPr>
        <w:t>；11.</w:t>
      </w:r>
      <w:r>
        <w:rPr>
          <w:rFonts w:eastAsia="仿宋_GB2312"/>
          <w:sz w:val="32"/>
          <w:szCs w:val="32"/>
        </w:rPr>
        <w:t>加大电子化招投标改革力度</w:t>
      </w:r>
      <w:r>
        <w:rPr>
          <w:rFonts w:hint="eastAsia" w:eastAsia="仿宋_GB2312"/>
          <w:sz w:val="32"/>
          <w:szCs w:val="32"/>
        </w:rPr>
        <w:t>；12.</w:t>
      </w:r>
      <w:r>
        <w:rPr>
          <w:rFonts w:eastAsia="仿宋_GB2312"/>
          <w:sz w:val="32"/>
          <w:szCs w:val="32"/>
        </w:rPr>
        <w:t>强化远程异地评标合作</w:t>
      </w:r>
      <w:r>
        <w:rPr>
          <w:rFonts w:hint="eastAsia" w:eastAsia="仿宋_GB2312"/>
          <w:sz w:val="32"/>
          <w:szCs w:val="32"/>
        </w:rPr>
        <w:t>；13.</w:t>
      </w:r>
      <w:r>
        <w:rPr>
          <w:rFonts w:eastAsia="仿宋_GB2312"/>
          <w:sz w:val="32"/>
          <w:szCs w:val="32"/>
        </w:rPr>
        <w:t>持续优化公共资源交易服务</w:t>
      </w:r>
      <w:r>
        <w:rPr>
          <w:rFonts w:hint="eastAsia" w:eastAsia="仿宋_GB2312"/>
          <w:sz w:val="32"/>
          <w:szCs w:val="32"/>
        </w:rPr>
        <w:t>。</w:t>
      </w:r>
    </w:p>
    <w:p>
      <w:pPr>
        <w:spacing w:line="600" w:lineRule="exact"/>
        <w:ind w:firstLine="640"/>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r>
        <w:rPr>
          <w:rFonts w:hAnsi="仿宋_GB2312" w:eastAsia="仿宋_GB2312"/>
          <w:sz w:val="32"/>
          <w:szCs w:val="32"/>
        </w:rPr>
        <w:t>全市依申请政务服务全面实现标准化，建立统一编制、联合审核、动态管理、全面实施的政务服务清单管理机制，</w:t>
      </w:r>
      <w:r>
        <w:rPr>
          <w:rFonts w:eastAsia="仿宋_GB2312"/>
          <w:sz w:val="32"/>
          <w:szCs w:val="32"/>
          <w:shd w:val="clear" w:color="auto" w:fill="FFFFFF"/>
        </w:rPr>
        <w:t>规范统一、集约高效、智慧便利的市县乡村四级综合性政务服务体系</w:t>
      </w:r>
      <w:r>
        <w:rPr>
          <w:rFonts w:eastAsia="仿宋_GB2312"/>
          <w:sz w:val="32"/>
          <w:szCs w:val="32"/>
        </w:rPr>
        <w:t>基本建成；网上政务服务能力持续提升，</w:t>
      </w:r>
      <w:r>
        <w:rPr>
          <w:rFonts w:hAnsi="仿宋_GB2312" w:eastAsia="仿宋_GB2312"/>
          <w:sz w:val="32"/>
          <w:szCs w:val="32"/>
        </w:rPr>
        <w:t>除涉及国家秘密等情形外，市、县（区）、乡镇（街道）三级政务服务事项</w:t>
      </w:r>
      <w:r>
        <w:rPr>
          <w:rFonts w:eastAsia="仿宋_GB2312"/>
          <w:sz w:val="32"/>
          <w:szCs w:val="32"/>
        </w:rPr>
        <w:t>100%</w:t>
      </w:r>
      <w:r>
        <w:rPr>
          <w:rFonts w:hAnsi="仿宋_GB2312" w:eastAsia="仿宋_GB2312"/>
          <w:sz w:val="32"/>
          <w:szCs w:val="32"/>
        </w:rPr>
        <w:t>纳入一体化政务服务平台管理和运行，适合网上办理的政务服务事项</w:t>
      </w:r>
      <w:r>
        <w:rPr>
          <w:rFonts w:eastAsia="仿宋_GB2312"/>
          <w:sz w:val="32"/>
          <w:szCs w:val="32"/>
        </w:rPr>
        <w:t>100%</w:t>
      </w:r>
      <w:r>
        <w:rPr>
          <w:rFonts w:hAnsi="仿宋_GB2312" w:eastAsia="仿宋_GB2312"/>
          <w:sz w:val="32"/>
          <w:szCs w:val="32"/>
        </w:rPr>
        <w:t>实现</w:t>
      </w:r>
      <w:r>
        <w:rPr>
          <w:rFonts w:eastAsia="仿宋_GB2312"/>
          <w:sz w:val="32"/>
          <w:szCs w:val="32"/>
        </w:rPr>
        <w:t>“</w:t>
      </w:r>
      <w:r>
        <w:rPr>
          <w:rFonts w:hAnsi="仿宋_GB2312" w:eastAsia="仿宋_GB2312"/>
          <w:sz w:val="32"/>
          <w:szCs w:val="32"/>
        </w:rPr>
        <w:t>网上办</w:t>
      </w:r>
      <w:r>
        <w:rPr>
          <w:rFonts w:eastAsia="仿宋_GB2312"/>
          <w:sz w:val="32"/>
          <w:szCs w:val="32"/>
        </w:rPr>
        <w:t>”</w:t>
      </w:r>
      <w:r>
        <w:rPr>
          <w:rFonts w:hAnsi="仿宋_GB2312" w:eastAsia="仿宋_GB2312"/>
          <w:sz w:val="32"/>
          <w:szCs w:val="32"/>
        </w:rPr>
        <w:t>，</w:t>
      </w:r>
      <w:r>
        <w:rPr>
          <w:rFonts w:eastAsia="仿宋_GB2312"/>
          <w:sz w:val="32"/>
          <w:szCs w:val="32"/>
        </w:rPr>
        <w:t>初步建</w:t>
      </w:r>
      <w:r>
        <w:rPr>
          <w:rFonts w:hAnsi="仿宋_GB2312" w:eastAsia="仿宋_GB2312"/>
          <w:sz w:val="32"/>
          <w:szCs w:val="32"/>
        </w:rPr>
        <w:t>成线上</w:t>
      </w:r>
      <w:r>
        <w:rPr>
          <w:rFonts w:eastAsia="仿宋_GB2312"/>
          <w:sz w:val="32"/>
          <w:szCs w:val="32"/>
        </w:rPr>
        <w:t>“</w:t>
      </w:r>
      <w:r>
        <w:rPr>
          <w:rFonts w:hAnsi="仿宋_GB2312" w:eastAsia="仿宋_GB2312"/>
          <w:sz w:val="32"/>
          <w:szCs w:val="32"/>
        </w:rPr>
        <w:t>一网通办</w:t>
      </w:r>
      <w:r>
        <w:rPr>
          <w:rFonts w:eastAsia="仿宋_GB2312"/>
          <w:sz w:val="32"/>
          <w:szCs w:val="32"/>
        </w:rPr>
        <w:t>”</w:t>
      </w:r>
      <w:r>
        <w:rPr>
          <w:rFonts w:hAnsi="仿宋_GB2312" w:eastAsia="仿宋_GB2312"/>
          <w:sz w:val="32"/>
          <w:szCs w:val="32"/>
        </w:rPr>
        <w:t>、线下</w:t>
      </w:r>
      <w:r>
        <w:rPr>
          <w:rFonts w:eastAsia="仿宋_GB2312"/>
          <w:sz w:val="32"/>
          <w:szCs w:val="32"/>
        </w:rPr>
        <w:t>“</w:t>
      </w:r>
      <w:r>
        <w:rPr>
          <w:rFonts w:hAnsi="仿宋_GB2312" w:eastAsia="仿宋_GB2312"/>
          <w:sz w:val="32"/>
          <w:szCs w:val="32"/>
        </w:rPr>
        <w:t>全市通办</w:t>
      </w:r>
      <w:r>
        <w:rPr>
          <w:rFonts w:eastAsia="仿宋_GB2312"/>
          <w:sz w:val="32"/>
          <w:szCs w:val="32"/>
        </w:rPr>
        <w:t>”</w:t>
      </w:r>
      <w:r>
        <w:rPr>
          <w:rFonts w:hAnsi="仿宋_GB2312" w:eastAsia="仿宋_GB2312"/>
          <w:sz w:val="32"/>
          <w:szCs w:val="32"/>
        </w:rPr>
        <w:t>、线上线下</w:t>
      </w:r>
      <w:r>
        <w:rPr>
          <w:rFonts w:eastAsia="仿宋_GB2312"/>
          <w:sz w:val="32"/>
          <w:szCs w:val="32"/>
        </w:rPr>
        <w:t>“</w:t>
      </w:r>
      <w:r>
        <w:rPr>
          <w:rFonts w:hAnsi="仿宋_GB2312" w:eastAsia="仿宋_GB2312"/>
          <w:sz w:val="32"/>
          <w:szCs w:val="32"/>
        </w:rPr>
        <w:t>一次办成</w:t>
      </w:r>
      <w:r>
        <w:rPr>
          <w:rFonts w:eastAsia="仿宋_GB2312"/>
          <w:sz w:val="32"/>
          <w:szCs w:val="32"/>
        </w:rPr>
        <w:t>”</w:t>
      </w:r>
      <w:r>
        <w:rPr>
          <w:rFonts w:hAnsi="仿宋_GB2312" w:eastAsia="仿宋_GB2312"/>
          <w:sz w:val="32"/>
          <w:szCs w:val="32"/>
        </w:rPr>
        <w:t>为显著特征的方便快捷、公平普惠、优质高效政务服务体系，更好满足企业和群众办事需求</w:t>
      </w:r>
      <w:r>
        <w:rPr>
          <w:rFonts w:eastAsia="仿宋_GB2312"/>
          <w:sz w:val="32"/>
          <w:szCs w:val="32"/>
        </w:rPr>
        <w:t>；</w:t>
      </w:r>
      <w:r>
        <w:rPr>
          <w:rFonts w:eastAsia="仿宋_GB2312"/>
          <w:sz w:val="32"/>
          <w:szCs w:val="32"/>
          <w:shd w:val="clear" w:color="auto" w:fill="FFFFFF"/>
        </w:rPr>
        <w:t>实施电子化开评标项目占比达80%以上，投标保证金实现收退全流程电子化。</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r>
        <w:rPr>
          <w:rFonts w:hint="eastAsia" w:ascii="仿宋" w:hAnsi="仿宋" w:eastAsia="仿宋"/>
          <w:sz w:val="32"/>
          <w:szCs w:val="32"/>
        </w:rPr>
        <w:t>2022年度</w:t>
      </w:r>
      <w:r>
        <w:rPr>
          <w:rFonts w:hint="eastAsia" w:ascii="仿宋_GB2312" w:hAnsi="仿宋_GB2312" w:eastAsia="仿宋_GB2312" w:cs="仿宋_GB2312"/>
          <w:kern w:val="0"/>
          <w:sz w:val="32"/>
          <w:szCs w:val="32"/>
          <w:shd w:val="clear" w:color="auto" w:fill="FFFFFF"/>
        </w:rPr>
        <w:t>部门收入</w:t>
      </w:r>
      <w:r>
        <w:rPr>
          <w:rFonts w:hint="eastAsia" w:ascii="仿宋" w:hAnsi="仿宋" w:eastAsia="仿宋"/>
          <w:sz w:val="32"/>
          <w:szCs w:val="32"/>
        </w:rPr>
        <w:t>总计1328.55万元。与2021年相比，减少674.05万元，下降33.66</w:t>
      </w:r>
      <w:r>
        <w:rPr>
          <w:rFonts w:ascii="仿宋" w:hAnsi="仿宋" w:eastAsia="仿宋"/>
          <w:sz w:val="32"/>
          <w:szCs w:val="32"/>
        </w:rPr>
        <w:t>%</w:t>
      </w:r>
      <w:r>
        <w:rPr>
          <w:rFonts w:hint="eastAsia" w:ascii="仿宋" w:hAnsi="仿宋" w:eastAsia="仿宋"/>
          <w:sz w:val="32"/>
          <w:szCs w:val="32"/>
        </w:rPr>
        <w:t>。主要变动原因是减少项目支出。</w:t>
      </w:r>
    </w:p>
    <w:p>
      <w:pPr>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r>
        <w:rPr>
          <w:rFonts w:hint="eastAsia" w:ascii="仿宋" w:hAnsi="仿宋" w:eastAsia="仿宋"/>
          <w:sz w:val="32"/>
          <w:szCs w:val="32"/>
        </w:rPr>
        <w:t>2022年度</w:t>
      </w:r>
      <w:r>
        <w:rPr>
          <w:rFonts w:hint="eastAsia" w:ascii="仿宋_GB2312" w:hAnsi="仿宋_GB2312" w:eastAsia="仿宋_GB2312" w:cs="仿宋_GB2312"/>
          <w:kern w:val="0"/>
          <w:sz w:val="32"/>
          <w:szCs w:val="32"/>
          <w:shd w:val="clear" w:color="auto" w:fill="FFFFFF"/>
        </w:rPr>
        <w:t>部门支出</w:t>
      </w:r>
      <w:r>
        <w:rPr>
          <w:rFonts w:hint="eastAsia" w:ascii="仿宋" w:hAnsi="仿宋" w:eastAsia="仿宋"/>
          <w:sz w:val="32"/>
          <w:szCs w:val="32"/>
        </w:rPr>
        <w:t>总计1328.55万元。与2021年相比，减少674.05万元，下降33.66</w:t>
      </w:r>
      <w:r>
        <w:rPr>
          <w:rFonts w:ascii="仿宋" w:hAnsi="仿宋" w:eastAsia="仿宋"/>
          <w:sz w:val="32"/>
          <w:szCs w:val="32"/>
        </w:rPr>
        <w:t>%</w:t>
      </w:r>
      <w:r>
        <w:rPr>
          <w:rFonts w:hint="eastAsia" w:ascii="仿宋" w:hAnsi="仿宋" w:eastAsia="仿宋"/>
          <w:sz w:val="32"/>
          <w:szCs w:val="32"/>
        </w:rPr>
        <w:t>。主要变动原因是减少项目支出。</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1.部门财政拨款收入情况。全年财政拨款收入</w:t>
      </w:r>
      <w:r>
        <w:rPr>
          <w:rFonts w:hint="eastAsia" w:ascii="仿宋" w:hAnsi="仿宋" w:eastAsia="仿宋"/>
          <w:sz w:val="32"/>
          <w:szCs w:val="32"/>
        </w:rPr>
        <w:t>1328.55万元。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2.部门财政拨款支出情况。全年财政拨款支出</w:t>
      </w:r>
      <w:r>
        <w:rPr>
          <w:rFonts w:hint="eastAsia" w:ascii="仿宋" w:hAnsi="仿宋" w:eastAsia="仿宋"/>
          <w:sz w:val="32"/>
          <w:szCs w:val="32"/>
        </w:rPr>
        <w:t>1328.55万元。</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pStyle w:val="2"/>
        <w:spacing w:before="93"/>
        <w:ind w:firstLine="600" w:firstLineChars="200"/>
      </w:pPr>
      <w:r>
        <w:rPr>
          <w:rFonts w:hint="eastAsia"/>
        </w:rPr>
        <w:t>绩效目标是严格执行相关政策，保障工资等人员类项目及时发放、足额发放，预算编制科学合理，减少结余资金。2022年度人员类项目预算执行率100%，按照相关政策要求实现绩效目标，及时、准确、足额发放人员工资等人员类支出，无结余资金和违规记录。</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pStyle w:val="2"/>
        <w:spacing w:before="93"/>
        <w:ind w:firstLine="600" w:firstLineChars="200"/>
      </w:pPr>
      <w:r>
        <w:rPr>
          <w:rFonts w:hint="eastAsia"/>
        </w:rPr>
        <w:t>绩效目标是保障单位日常运转，提高预算编制质量，严格执行预算。2022年单位运转高效有序，项目目标实现，项目预算执行率100%，项目无结余资金和违规记录。</w:t>
      </w:r>
    </w:p>
    <w:p>
      <w:pPr>
        <w:widowControl/>
        <w:numPr>
          <w:ilvl w:val="0"/>
          <w:numId w:val="7"/>
        </w:num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特定目标类项目绩效分析</w:t>
      </w:r>
    </w:p>
    <w:p>
      <w:pPr>
        <w:pStyle w:val="2"/>
        <w:spacing w:before="93"/>
      </w:pPr>
      <w:r>
        <w:rPr>
          <w:rFonts w:hint="eastAsia"/>
        </w:rPr>
        <w:t xml:space="preserve">    绩效目标是完成项目既定任务，严格执行预算。2022年项目任务保质保量完成，项目预算执行率100%，项目无结余资金和违规记录。</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spacing w:line="60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2022年全面完成部门工作任务。</w:t>
      </w:r>
      <w:r>
        <w:rPr>
          <w:rFonts w:eastAsia="仿宋_GB2312"/>
          <w:sz w:val="32"/>
          <w:szCs w:val="32"/>
        </w:rPr>
        <w:t>1.全面落实清单管理制度。完成《攀枝花市市级行政权力清单（2021年本）》《攀枝花市公共服务事项基本目录（2021年版）》等“两张”清单编制公布工作</w:t>
      </w:r>
      <w:r>
        <w:rPr>
          <w:rFonts w:hint="eastAsia" w:eastAsia="仿宋_GB2312"/>
          <w:sz w:val="32"/>
          <w:szCs w:val="32"/>
        </w:rPr>
        <w:t>；2.</w:t>
      </w:r>
      <w:r>
        <w:rPr>
          <w:rFonts w:eastAsia="仿宋_GB2312"/>
          <w:sz w:val="32"/>
          <w:szCs w:val="32"/>
        </w:rPr>
        <w:t>汇集各类惠企政策299项</w:t>
      </w:r>
      <w:r>
        <w:rPr>
          <w:rFonts w:hint="eastAsia" w:eastAsia="仿宋_GB2312"/>
          <w:sz w:val="32"/>
          <w:szCs w:val="32"/>
        </w:rPr>
        <w:t>，</w:t>
      </w:r>
      <w:r>
        <w:rPr>
          <w:rFonts w:eastAsia="仿宋_GB2312"/>
          <w:sz w:val="32"/>
          <w:szCs w:val="32"/>
        </w:rPr>
        <w:t>深入开展“送政策上门”活动</w:t>
      </w:r>
      <w:r>
        <w:rPr>
          <w:rFonts w:hint="eastAsia" w:eastAsia="仿宋_GB2312"/>
          <w:sz w:val="32"/>
          <w:szCs w:val="32"/>
        </w:rPr>
        <w:t>；3.</w:t>
      </w:r>
      <w:r>
        <w:rPr>
          <w:rFonts w:eastAsia="仿宋_GB2312"/>
          <w:sz w:val="32"/>
          <w:szCs w:val="32"/>
        </w:rPr>
        <w:t>对国务院和省政府下达的131项“放管服”改革任务，逐项有针对性地研究制定我市具体贯彻落实措施，明确责任部门和完成时限，压实改革责任，确保各项改革有人抓、有人管、有落实</w:t>
      </w:r>
      <w:r>
        <w:rPr>
          <w:rFonts w:hint="eastAsia" w:eastAsia="仿宋_GB2312"/>
          <w:sz w:val="32"/>
          <w:szCs w:val="32"/>
        </w:rPr>
        <w:t>；4.</w:t>
      </w:r>
      <w:r>
        <w:rPr>
          <w:rFonts w:eastAsia="仿宋_GB2312"/>
          <w:sz w:val="32"/>
          <w:szCs w:val="32"/>
        </w:rPr>
        <w:t>持续简政放权</w:t>
      </w:r>
      <w:r>
        <w:rPr>
          <w:rFonts w:hint="eastAsia" w:eastAsia="仿宋_GB2312"/>
          <w:sz w:val="32"/>
          <w:szCs w:val="32"/>
        </w:rPr>
        <w:t>；5.</w:t>
      </w:r>
      <w:r>
        <w:rPr>
          <w:rFonts w:hAnsi="仿宋_GB2312" w:eastAsia="仿宋_GB2312"/>
          <w:sz w:val="32"/>
          <w:szCs w:val="32"/>
        </w:rPr>
        <w:t>加强执法监管</w:t>
      </w:r>
      <w:r>
        <w:rPr>
          <w:rFonts w:hint="eastAsia" w:hAnsi="仿宋_GB2312" w:eastAsia="仿宋_GB2312"/>
          <w:sz w:val="32"/>
          <w:szCs w:val="32"/>
        </w:rPr>
        <w:t>，</w:t>
      </w:r>
      <w:r>
        <w:rPr>
          <w:rFonts w:eastAsia="仿宋_GB2312"/>
          <w:sz w:val="32"/>
          <w:szCs w:val="32"/>
        </w:rPr>
        <w:t>严格执行涉企执法检查清单制度</w:t>
      </w:r>
      <w:r>
        <w:rPr>
          <w:rFonts w:hint="eastAsia" w:eastAsia="仿宋_GB2312"/>
          <w:sz w:val="32"/>
          <w:szCs w:val="32"/>
        </w:rPr>
        <w:t>；6.</w:t>
      </w:r>
      <w:r>
        <w:rPr>
          <w:rFonts w:eastAsia="仿宋_GB2312"/>
          <w:sz w:val="32"/>
          <w:szCs w:val="32"/>
        </w:rPr>
        <w:t>收集企业诉求问题300余项，已解决200余项。按照50%比例顶格减征“六税两费”，制定出台稳定和扩大就业15条措施以及金融惠企纾困23条政策，全面落实稳岗返还补贴政策，累计为企业减轻税费负担20余亿元</w:t>
      </w:r>
      <w:r>
        <w:rPr>
          <w:rFonts w:hint="eastAsia" w:eastAsia="仿宋_GB2312"/>
          <w:sz w:val="32"/>
          <w:szCs w:val="32"/>
        </w:rPr>
        <w:t>；7.</w:t>
      </w:r>
      <w:r>
        <w:rPr>
          <w:rFonts w:eastAsia="仿宋_GB2312"/>
          <w:sz w:val="32"/>
          <w:szCs w:val="32"/>
        </w:rPr>
        <w:t>全面完成省一体化平台发布事项认领工作，事项认领率、办事指南发布准确率均达100%。深入推进“一件事一次办”改革，依托省一体化平台完成“一件事”相关主题配置61个，“一件事”可用性、综窗入驻率均达100%。加快推进电子证照应用，电子证照生产率达99.58%，电子证照补录率达100%，电子证照签章率达100%。持续推进“天府通办”攀枝花分站点建设，建成特色专区3个，接入各类便民应用152个</w:t>
      </w:r>
      <w:r>
        <w:rPr>
          <w:rFonts w:hint="eastAsia" w:eastAsia="仿宋_GB2312"/>
          <w:sz w:val="32"/>
          <w:szCs w:val="32"/>
        </w:rPr>
        <w:t>；8.</w:t>
      </w:r>
      <w:r>
        <w:rPr>
          <w:rFonts w:eastAsia="仿宋_GB2312"/>
          <w:sz w:val="32"/>
          <w:shd w:val="clear" w:color="auto" w:fill="FFFFFF"/>
        </w:rPr>
        <w:t>强化重点项目审批保障</w:t>
      </w:r>
      <w:r>
        <w:rPr>
          <w:rFonts w:hint="eastAsia" w:eastAsia="仿宋_GB2312"/>
          <w:sz w:val="32"/>
          <w:shd w:val="clear" w:color="auto" w:fill="FFFFFF"/>
        </w:rPr>
        <w:t>；9.</w:t>
      </w:r>
      <w:r>
        <w:rPr>
          <w:rFonts w:eastAsia="仿宋_GB2312"/>
          <w:sz w:val="32"/>
          <w:shd w:val="clear" w:color="auto" w:fill="FFFFFF"/>
        </w:rPr>
        <w:t>深入推进“无差别综合窗口”改革</w:t>
      </w:r>
      <w:r>
        <w:rPr>
          <w:rFonts w:hint="eastAsia" w:eastAsia="仿宋_GB2312"/>
          <w:sz w:val="32"/>
          <w:shd w:val="clear" w:color="auto" w:fill="FFFFFF"/>
        </w:rPr>
        <w:t>；10.</w:t>
      </w:r>
      <w:r>
        <w:rPr>
          <w:rFonts w:eastAsia="仿宋_GB2312"/>
          <w:sz w:val="32"/>
          <w:shd w:val="clear" w:color="auto" w:fill="FFFFFF"/>
        </w:rPr>
        <w:t>创新推出新生儿“全生育周期一件事”</w:t>
      </w:r>
      <w:r>
        <w:rPr>
          <w:rFonts w:hint="eastAsia" w:eastAsia="仿宋_GB2312"/>
          <w:sz w:val="32"/>
          <w:shd w:val="clear" w:color="auto" w:fill="FFFFFF"/>
        </w:rPr>
        <w:t>；11.</w:t>
      </w:r>
      <w:r>
        <w:rPr>
          <w:rFonts w:eastAsia="仿宋_GB2312"/>
          <w:sz w:val="32"/>
          <w:shd w:val="clear" w:color="auto" w:fill="FFFFFF"/>
        </w:rPr>
        <w:t>深入实施“既有住宅增设电梯”审批专窗改革</w:t>
      </w:r>
      <w:r>
        <w:rPr>
          <w:rFonts w:hint="eastAsia" w:eastAsia="仿宋_GB2312"/>
          <w:sz w:val="32"/>
          <w:shd w:val="clear" w:color="auto" w:fill="FFFFFF"/>
        </w:rPr>
        <w:t>；12.</w:t>
      </w:r>
      <w:r>
        <w:rPr>
          <w:rFonts w:eastAsia="仿宋_GB2312"/>
          <w:sz w:val="32"/>
          <w:szCs w:val="32"/>
        </w:rPr>
        <w:t>省、市两级镇村便民服务体系“三化”建设试点任务均已全面完成</w:t>
      </w:r>
      <w:r>
        <w:rPr>
          <w:rFonts w:hint="eastAsia" w:eastAsia="仿宋_GB2312"/>
          <w:sz w:val="32"/>
          <w:szCs w:val="32"/>
        </w:rPr>
        <w:t>；13.</w:t>
      </w:r>
      <w:r>
        <w:rPr>
          <w:rFonts w:eastAsia="仿宋_GB2312"/>
          <w:sz w:val="32"/>
          <w:szCs w:val="32"/>
        </w:rPr>
        <w:t>梳理编制《攀枝花市与周边五市州政务服务“一体通办”事项对接清单（第一批）》，对清单内107项事项，采取代收代办、邮递快达等方式，推动与毗邻5市州政务服务“一体通办”</w:t>
      </w:r>
      <w:r>
        <w:rPr>
          <w:rFonts w:hint="eastAsia" w:eastAsia="仿宋_GB2312"/>
          <w:sz w:val="32"/>
          <w:szCs w:val="32"/>
        </w:rPr>
        <w:t>；14.</w:t>
      </w:r>
      <w:r>
        <w:rPr>
          <w:rFonts w:eastAsia="仿宋_GB2312"/>
          <w:sz w:val="32"/>
          <w:szCs w:val="32"/>
        </w:rPr>
        <w:t>依托政府采购一体化平台共实施政府采购11个</w:t>
      </w:r>
      <w:r>
        <w:rPr>
          <w:rFonts w:hint="eastAsia" w:eastAsia="仿宋_GB2312"/>
          <w:sz w:val="32"/>
          <w:szCs w:val="32"/>
        </w:rPr>
        <w:t>，开</w:t>
      </w:r>
      <w:r>
        <w:rPr>
          <w:rFonts w:eastAsia="仿宋_GB2312"/>
          <w:sz w:val="32"/>
          <w:szCs w:val="32"/>
        </w:rPr>
        <w:t>展全流程电子化招投标项目243个，涉及金额22.69亿元，开展“不见面开标”项目147个，占比60.49%，涉及金额16.86亿元</w:t>
      </w:r>
      <w:r>
        <w:rPr>
          <w:rFonts w:hint="eastAsia" w:eastAsia="仿宋_GB2312"/>
          <w:sz w:val="32"/>
          <w:szCs w:val="32"/>
        </w:rPr>
        <w:t>；15.</w:t>
      </w:r>
      <w:r>
        <w:rPr>
          <w:rFonts w:eastAsia="仿宋_GB2312"/>
          <w:sz w:val="32"/>
          <w:szCs w:val="32"/>
        </w:rPr>
        <w:t>开展远程异地评标项目38个，涉及金额4.93亿元</w:t>
      </w:r>
      <w:r>
        <w:rPr>
          <w:rFonts w:hint="eastAsia" w:eastAsia="仿宋_GB2312"/>
          <w:sz w:val="32"/>
          <w:szCs w:val="32"/>
        </w:rPr>
        <w:t>；</w:t>
      </w:r>
      <w:r>
        <w:rPr>
          <w:rFonts w:eastAsia="仿宋_GB2312"/>
          <w:sz w:val="32"/>
          <w:szCs w:val="32"/>
        </w:rPr>
        <w:t>全面优化交易服务事项办理流程，通过减环节、减材料、减材料等举措，推动入场登记、开标、评标等交易服务事项办理全流程“网上办”“零见面”，整体招投标时限缩短30%以上。</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pStyle w:val="2"/>
        <w:spacing w:before="93"/>
        <w:ind w:firstLine="640" w:firstLineChars="200"/>
      </w:pPr>
      <w:r>
        <w:rPr>
          <w:rFonts w:hint="eastAsia" w:hAnsi="仿宋_GB2312" w:cs="仿宋_GB2312"/>
          <w:sz w:val="32"/>
          <w:szCs w:val="32"/>
          <w:shd w:val="clear" w:color="auto" w:fill="FFFFFF"/>
        </w:rPr>
        <w:t>项目按照绩效目标开展，自评按照要求公开，无问题整改。</w:t>
      </w:r>
    </w:p>
    <w:p>
      <w:pPr>
        <w:widowControl/>
        <w:numPr>
          <w:ilvl w:val="0"/>
          <w:numId w:val="8"/>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部门整体自评较为准确。</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pStyle w:val="8"/>
        <w:spacing w:line="600" w:lineRule="exact"/>
        <w:ind w:firstLine="643" w:firstLineChars="200"/>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r>
        <w:rPr>
          <w:rFonts w:hint="eastAsia" w:ascii="仿宋_GB2312" w:hAnsi="Times New Roman" w:eastAsia="仿宋_GB2312"/>
          <w:sz w:val="32"/>
          <w:szCs w:val="32"/>
        </w:rPr>
        <w:t>年度预算及项目绩效全面完成。</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lang w:val="zh-CN"/>
        </w:rPr>
        <w:t>（二）存在问题。</w:t>
      </w:r>
      <w:r>
        <w:rPr>
          <w:rFonts w:hint="eastAsia" w:ascii="仿宋_GB2312" w:eastAsia="仿宋_GB2312"/>
          <w:sz w:val="32"/>
          <w:szCs w:val="32"/>
        </w:rPr>
        <w:t>无</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lang w:val="zh-CN"/>
        </w:rPr>
        <w:t>（三）改进建议。</w:t>
      </w:r>
      <w:r>
        <w:rPr>
          <w:rFonts w:hint="eastAsia" w:ascii="仿宋_GB2312" w:eastAsia="仿宋_GB2312"/>
          <w:sz w:val="32"/>
          <w:szCs w:val="32"/>
        </w:rPr>
        <w:t>无</w:t>
      </w:r>
    </w:p>
    <w:p>
      <w:pPr>
        <w:pStyle w:val="14"/>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部门预算项目支出绩效自评表（2022年度）见附件3。</w:t>
      </w:r>
    </w:p>
    <w:p>
      <w:pPr>
        <w:pStyle w:val="14"/>
        <w:spacing w:line="560" w:lineRule="exact"/>
        <w:ind w:left="0" w:leftChars="0" w:firstLine="0" w:firstLineChars="0"/>
        <w:rPr>
          <w:sz w:val="32"/>
          <w:lang w:val="zh-CN"/>
        </w:rPr>
      </w:pPr>
    </w:p>
    <w:p>
      <w:pPr>
        <w:pStyle w:val="2"/>
        <w:spacing w:before="93"/>
        <w:rPr>
          <w:rFonts w:hAnsi="宋体" w:cs="宋体"/>
          <w:sz w:val="32"/>
          <w:szCs w:val="32"/>
          <w:shd w:val="clear" w:color="auto" w:fill="FFFFFF"/>
          <w:lang w:val="zh-CN"/>
        </w:rPr>
      </w:pP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9"/>
          <w:rFonts w:hint="eastAsia" w:ascii="黑体" w:hAnsi="黑体" w:eastAsia="黑体"/>
          <w:b w:val="0"/>
        </w:rPr>
        <w:t>五部分 附表</w:t>
      </w:r>
      <w:bookmarkEnd w:id="56"/>
      <w:bookmarkEnd w:id="59"/>
      <w:bookmarkStart w:id="60"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30"/>
          <w:rFonts w:hint="eastAsia" w:ascii="仿宋" w:hAnsi="仿宋" w:eastAsia="仿宋"/>
          <w:b w:val="0"/>
          <w:bCs w:val="0"/>
        </w:rPr>
        <w:t>入决算表</w:t>
      </w:r>
      <w:bookmarkEnd w:id="61"/>
    </w:p>
    <w:p>
      <w:pPr>
        <w:pStyle w:val="4"/>
        <w:rPr>
          <w:rFonts w:ascii="仿宋" w:hAnsi="仿宋" w:eastAsia="仿宋"/>
        </w:rPr>
      </w:pPr>
      <w:bookmarkStart w:id="62"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63"/>
    </w:p>
    <w:p>
      <w:pPr>
        <w:pStyle w:val="4"/>
        <w:rPr>
          <w:rStyle w:val="30"/>
          <w:rFonts w:ascii="仿宋" w:hAnsi="仿宋" w:eastAsia="仿宋"/>
          <w:b w:val="0"/>
          <w:bCs w:val="0"/>
        </w:rPr>
      </w:pPr>
      <w:bookmarkStart w:id="64"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30"/>
          <w:rFonts w:hint="eastAsia" w:ascii="仿宋" w:hAnsi="仿宋" w:eastAsia="仿宋"/>
          <w:b w:val="0"/>
          <w:bCs w:val="0"/>
        </w:rPr>
        <w:t>十、</w:t>
      </w:r>
      <w:bookmarkEnd w:id="69"/>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4"/>
        <w:rPr>
          <w:rFonts w:ascii="仿宋" w:hAnsi="仿宋" w:eastAsia="仿宋"/>
        </w:rPr>
      </w:pPr>
      <w:bookmarkStart w:id="70" w:name="_Toc15396629"/>
      <w:r>
        <w:rPr>
          <w:rStyle w:val="30"/>
          <w:rFonts w:hint="eastAsia" w:ascii="仿宋" w:hAnsi="仿宋" w:eastAsia="仿宋"/>
          <w:b w:val="0"/>
          <w:bCs w:val="0"/>
        </w:rPr>
        <w:t>十一、</w:t>
      </w:r>
      <w:bookmarkEnd w:id="70"/>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4"/>
        <w:rPr>
          <w:rFonts w:ascii="仿宋" w:hAnsi="仿宋" w:eastAsia="仿宋"/>
        </w:rPr>
      </w:pPr>
      <w:bookmarkStart w:id="71" w:name="_Toc15396630"/>
      <w:r>
        <w:rPr>
          <w:rStyle w:val="30"/>
          <w:rFonts w:hint="eastAsia" w:ascii="仿宋" w:hAnsi="仿宋" w:eastAsia="仿宋"/>
          <w:b w:val="0"/>
          <w:bCs w:val="0"/>
        </w:rPr>
        <w:t>十二、</w:t>
      </w:r>
      <w:bookmarkEnd w:id="71"/>
      <w:r>
        <w:rPr>
          <w:rStyle w:val="30"/>
          <w:rFonts w:hint="eastAsia" w:ascii="仿宋" w:hAnsi="仿宋" w:eastAsia="仿宋"/>
          <w:b w:val="0"/>
          <w:bCs w:val="0"/>
        </w:rPr>
        <w:t>国有资本经营预算财政拨款支出决算表</w:t>
      </w:r>
    </w:p>
    <w:p>
      <w:pPr>
        <w:pStyle w:val="4"/>
        <w:rPr>
          <w:rFonts w:eastAsia="仿宋"/>
        </w:rPr>
      </w:pPr>
      <w:bookmarkStart w:id="72" w:name="_Toc15396631"/>
      <w:r>
        <w:rPr>
          <w:rStyle w:val="30"/>
          <w:rFonts w:hint="eastAsia" w:ascii="仿宋" w:hAnsi="仿宋" w:eastAsia="仿宋"/>
          <w:b w:val="0"/>
          <w:bCs w:val="0"/>
        </w:rPr>
        <w:t>十三、</w:t>
      </w:r>
      <w:bookmarkEnd w:id="72"/>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6DB5B"/>
    <w:multiLevelType w:val="singleLevel"/>
    <w:tmpl w:val="9FA6DB5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E3098F9"/>
    <w:multiLevelType w:val="singleLevel"/>
    <w:tmpl w:val="5E3098F9"/>
    <w:lvl w:ilvl="0" w:tentative="0">
      <w:start w:val="3"/>
      <w:numFmt w:val="decimal"/>
      <w:lvlText w:val="%1."/>
      <w:lvlJc w:val="left"/>
      <w:pPr>
        <w:tabs>
          <w:tab w:val="left" w:pos="312"/>
        </w:tabs>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AF6"/>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A40"/>
    <w:rsid w:val="00BC6B50"/>
    <w:rsid w:val="00BD0E25"/>
    <w:rsid w:val="00BF5BD6"/>
    <w:rsid w:val="00C03E31"/>
    <w:rsid w:val="00C33E72"/>
    <w:rsid w:val="00C354B2"/>
    <w:rsid w:val="00C35554"/>
    <w:rsid w:val="00C42443"/>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0512"/>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433EA"/>
    <w:rsid w:val="015975B8"/>
    <w:rsid w:val="02143E91"/>
    <w:rsid w:val="021A75A2"/>
    <w:rsid w:val="04A40077"/>
    <w:rsid w:val="05E37CDB"/>
    <w:rsid w:val="066E0107"/>
    <w:rsid w:val="075E5711"/>
    <w:rsid w:val="07996F6E"/>
    <w:rsid w:val="099B54C5"/>
    <w:rsid w:val="0A2032A3"/>
    <w:rsid w:val="0B4D7A5A"/>
    <w:rsid w:val="0C671D29"/>
    <w:rsid w:val="0F98263C"/>
    <w:rsid w:val="101860EC"/>
    <w:rsid w:val="10C055FF"/>
    <w:rsid w:val="118107EC"/>
    <w:rsid w:val="126B4EA4"/>
    <w:rsid w:val="12C4408B"/>
    <w:rsid w:val="13D50BC4"/>
    <w:rsid w:val="15E90EF5"/>
    <w:rsid w:val="16BB723D"/>
    <w:rsid w:val="190D0F1E"/>
    <w:rsid w:val="1A387F99"/>
    <w:rsid w:val="1B6F5C7A"/>
    <w:rsid w:val="1BE8440E"/>
    <w:rsid w:val="1D155CEE"/>
    <w:rsid w:val="1E6A177F"/>
    <w:rsid w:val="1FF35744"/>
    <w:rsid w:val="20A55D17"/>
    <w:rsid w:val="23860B96"/>
    <w:rsid w:val="240371BF"/>
    <w:rsid w:val="24852361"/>
    <w:rsid w:val="274F4A43"/>
    <w:rsid w:val="29A12CD0"/>
    <w:rsid w:val="29FD04D3"/>
    <w:rsid w:val="2C8A61B5"/>
    <w:rsid w:val="2DF04E50"/>
    <w:rsid w:val="2F040D46"/>
    <w:rsid w:val="2F43721D"/>
    <w:rsid w:val="307764CA"/>
    <w:rsid w:val="319F08F5"/>
    <w:rsid w:val="319F7F4E"/>
    <w:rsid w:val="3304709D"/>
    <w:rsid w:val="33EC3900"/>
    <w:rsid w:val="34852DB0"/>
    <w:rsid w:val="34FC40FE"/>
    <w:rsid w:val="36AA5135"/>
    <w:rsid w:val="376D39B2"/>
    <w:rsid w:val="37E16F03"/>
    <w:rsid w:val="38D469F0"/>
    <w:rsid w:val="3A594833"/>
    <w:rsid w:val="3B0B7331"/>
    <w:rsid w:val="3D98207C"/>
    <w:rsid w:val="3E78745D"/>
    <w:rsid w:val="3FE33C31"/>
    <w:rsid w:val="40CF057A"/>
    <w:rsid w:val="41B1768B"/>
    <w:rsid w:val="42A90167"/>
    <w:rsid w:val="44E268DA"/>
    <w:rsid w:val="4A627F82"/>
    <w:rsid w:val="4B0E749A"/>
    <w:rsid w:val="4B4F25DA"/>
    <w:rsid w:val="4B7D7F30"/>
    <w:rsid w:val="4BE068DB"/>
    <w:rsid w:val="4D577224"/>
    <w:rsid w:val="4EAB630A"/>
    <w:rsid w:val="4EB8483B"/>
    <w:rsid w:val="4ECE2238"/>
    <w:rsid w:val="4F8311C3"/>
    <w:rsid w:val="50125ECC"/>
    <w:rsid w:val="50F36DFD"/>
    <w:rsid w:val="537E6D0A"/>
    <w:rsid w:val="542D4C9E"/>
    <w:rsid w:val="547A3B63"/>
    <w:rsid w:val="576E6E95"/>
    <w:rsid w:val="599C69D5"/>
    <w:rsid w:val="5AF92295"/>
    <w:rsid w:val="5CD71FC4"/>
    <w:rsid w:val="611831B7"/>
    <w:rsid w:val="61A56D0C"/>
    <w:rsid w:val="62E94B13"/>
    <w:rsid w:val="64C26D91"/>
    <w:rsid w:val="65CF6077"/>
    <w:rsid w:val="67A410D9"/>
    <w:rsid w:val="684D58F6"/>
    <w:rsid w:val="6BCC237B"/>
    <w:rsid w:val="6C4A05C8"/>
    <w:rsid w:val="6E7E3605"/>
    <w:rsid w:val="6F04434D"/>
    <w:rsid w:val="6FDD2217"/>
    <w:rsid w:val="6FF5CC65"/>
    <w:rsid w:val="715C0E4B"/>
    <w:rsid w:val="726A2967"/>
    <w:rsid w:val="72734D90"/>
    <w:rsid w:val="73AD73D5"/>
    <w:rsid w:val="73B6EB34"/>
    <w:rsid w:val="744731E5"/>
    <w:rsid w:val="75341A49"/>
    <w:rsid w:val="76DC4D1B"/>
    <w:rsid w:val="76E3355F"/>
    <w:rsid w:val="778137DB"/>
    <w:rsid w:val="778769C8"/>
    <w:rsid w:val="78244A1E"/>
    <w:rsid w:val="78364FFB"/>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uiPriority w:val="0"/>
    <w:rPr>
      <w:rFonts w:ascii="宋体" w:hAnsi="Courier New"/>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6"/>
    <w:link w:val="3"/>
    <w:qFormat/>
    <w:uiPriority w:val="9"/>
    <w:rPr>
      <w:rFonts w:ascii="Times New Roman" w:hAnsi="Times New Roman"/>
      <w:b/>
      <w:bCs/>
      <w:kern w:val="44"/>
      <w:sz w:val="44"/>
      <w:szCs w:val="44"/>
    </w:rPr>
  </w:style>
  <w:style w:type="character" w:customStyle="1" w:styleId="30">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6"/>
    <w:link w:val="9"/>
    <w:semiHidden/>
    <w:qFormat/>
    <w:uiPriority w:val="99"/>
    <w:rPr>
      <w:rFonts w:ascii="Times New Roman" w:hAnsi="Times New Roman"/>
      <w:kern w:val="2"/>
      <w:sz w:val="18"/>
      <w:szCs w:val="18"/>
    </w:rPr>
  </w:style>
  <w:style w:type="character" w:customStyle="1" w:styleId="33">
    <w:name w:val="标题 3 字符"/>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1">
    <w:name w:val="p20"/>
    <w:basedOn w:val="1"/>
    <w:qFormat/>
    <w:uiPriority w:val="0"/>
    <w:pPr>
      <w:widowControl/>
      <w:spacing w:before="100" w:beforeAutospacing="1" w:after="100" w:afterAutospacing="1"/>
      <w:jc w:val="left"/>
    </w:pPr>
    <w:rPr>
      <w:rFonts w:ascii="宋体" w:hAnsi="宋体" w:cs="宋体"/>
      <w:kern w:val="0"/>
      <w:sz w:val="24"/>
    </w:rPr>
  </w:style>
  <w:style w:type="character" w:customStyle="1" w:styleId="52">
    <w:name w:val="s1"/>
    <w:basedOn w:val="16"/>
    <w:qFormat/>
    <w:uiPriority w:val="0"/>
  </w:style>
  <w:style w:type="paragraph" w:customStyle="1" w:styleId="53">
    <w:name w:val="p19"/>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5A6BE-E5B9-4BB5-9CCF-8F8461180E6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1303</Words>
  <Characters>7428</Characters>
  <Lines>61</Lines>
  <Paragraphs>17</Paragraphs>
  <TotalTime>6</TotalTime>
  <ScaleCrop>false</ScaleCrop>
  <LinksUpToDate>false</LinksUpToDate>
  <CharactersWithSpaces>8714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李燕君</cp:lastModifiedBy>
  <cp:lastPrinted>2023-09-12T06:35:00Z</cp:lastPrinted>
  <dcterms:modified xsi:type="dcterms:W3CDTF">2023-10-12T02:28:21Z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