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96475"/>
      <w:bookmarkStart w:id="3" w:name="_Toc15377193"/>
      <w:bookmarkStart w:id="4" w:name="_Toc112832518"/>
      <w:bookmarkStart w:id="5" w:name="_Toc15378441"/>
      <w:bookmarkStart w:id="6" w:name="_Toc15377425"/>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sz w:val="52"/>
          <w:szCs w:val="52"/>
        </w:rPr>
      </w:pPr>
      <w:bookmarkStart w:id="7" w:name="_Toc15377426"/>
      <w:bookmarkStart w:id="8" w:name="_Toc15396598"/>
      <w:bookmarkStart w:id="9" w:name="_Toc112832519"/>
      <w:bookmarkStart w:id="10" w:name="_Toc15377194"/>
      <w:bookmarkStart w:id="11" w:name="_Toc15378442"/>
      <w:bookmarkStart w:id="12" w:name="_Toc15396476"/>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宋体" w:eastAsia="方正小标宋简体"/>
          <w:color w:val="000000"/>
          <w:sz w:val="72"/>
          <w:szCs w:val="72"/>
        </w:rPr>
        <w:t>攀枝花市政务服务管理局</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pPr>
        <w:adjustRightInd w:val="0"/>
        <w:snapToGrid w:val="0"/>
        <w:spacing w:line="360" w:lineRule="auto"/>
        <w:jc w:val="center"/>
        <w:outlineLvl w:val="0"/>
        <w:rPr>
          <w:rFonts w:ascii="方正小标宋简体" w:hAnsi="宋体" w:eastAsia="方正小标宋简体"/>
          <w:sz w:val="52"/>
          <w:szCs w:val="52"/>
        </w:rPr>
      </w:pPr>
    </w:p>
    <w:p>
      <w:pPr>
        <w:adjustRightInd w:val="0"/>
        <w:snapToGrid w:val="0"/>
        <w:spacing w:line="360" w:lineRule="auto"/>
        <w:jc w:val="center"/>
        <w:outlineLvl w:val="0"/>
        <w:rPr>
          <w:rFonts w:ascii="方正小标宋简体" w:hAnsi="宋体" w:eastAsia="方正小标宋简体"/>
          <w:sz w:val="52"/>
          <w:szCs w:val="52"/>
        </w:rPr>
      </w:pPr>
    </w:p>
    <w:p>
      <w:pPr>
        <w:adjustRightInd w:val="0"/>
        <w:snapToGrid w:val="0"/>
        <w:spacing w:line="360" w:lineRule="auto"/>
        <w:jc w:val="center"/>
        <w:outlineLvl w:val="0"/>
        <w:rPr>
          <w:rFonts w:ascii="方正小标宋简体" w:hAnsi="宋体" w:eastAsia="方正小标宋简体"/>
          <w:sz w:val="52"/>
          <w:szCs w:val="52"/>
        </w:rPr>
      </w:pPr>
    </w:p>
    <w:p>
      <w:pPr>
        <w:adjustRightInd w:val="0"/>
        <w:snapToGrid w:val="0"/>
        <w:spacing w:line="360" w:lineRule="auto"/>
        <w:jc w:val="center"/>
        <w:outlineLvl w:val="0"/>
        <w:rPr>
          <w:rFonts w:ascii="方正小标宋简体" w:hAnsi="宋体" w:eastAsia="方正小标宋简体"/>
          <w:sz w:val="52"/>
          <w:szCs w:val="52"/>
        </w:rPr>
      </w:pPr>
    </w:p>
    <w:p>
      <w:pPr>
        <w:adjustRightInd w:val="0"/>
        <w:snapToGrid w:val="0"/>
        <w:spacing w:line="360" w:lineRule="auto"/>
        <w:jc w:val="center"/>
        <w:outlineLvl w:val="0"/>
        <w:rPr>
          <w:rFonts w:ascii="方正小标宋简体" w:hAnsi="宋体" w:eastAsia="方正小标宋简体"/>
          <w:sz w:val="52"/>
          <w:szCs w:val="52"/>
        </w:rPr>
      </w:pPr>
    </w:p>
    <w:p>
      <w:pPr>
        <w:adjustRightInd w:val="0"/>
        <w:snapToGrid w:val="0"/>
        <w:spacing w:line="360" w:lineRule="auto"/>
        <w:jc w:val="center"/>
        <w:outlineLvl w:val="0"/>
        <w:rPr>
          <w:rFonts w:ascii="方正小标宋简体" w:hAnsi="宋体" w:eastAsia="方正小标宋简体"/>
          <w:sz w:val="52"/>
          <w:szCs w:val="52"/>
        </w:rPr>
      </w:pPr>
    </w:p>
    <w:p>
      <w:pPr>
        <w:adjustRightInd w:val="0"/>
        <w:snapToGrid w:val="0"/>
        <w:spacing w:line="360" w:lineRule="auto"/>
        <w:jc w:val="center"/>
        <w:outlineLvl w:val="0"/>
        <w:rPr>
          <w:rFonts w:ascii="方正小标宋简体" w:hAnsi="宋体" w:eastAsia="方正小标宋简体"/>
          <w:sz w:val="52"/>
          <w:szCs w:val="52"/>
        </w:rPr>
      </w:pP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b w:val="0"/>
          <w:sz w:val="32"/>
          <w:szCs w:val="32"/>
        </w:rPr>
      </w:pPr>
      <w:bookmarkStart w:id="14" w:name="_Toc113530895"/>
      <w:r>
        <w:rPr>
          <w:rFonts w:hint="eastAsia" w:ascii="黑体" w:hAnsi="黑体" w:eastAsia="黑体"/>
          <w:b w:val="0"/>
          <w:sz w:val="32"/>
          <w:szCs w:val="32"/>
        </w:rPr>
        <w:t>目录</w:t>
      </w:r>
    </w:p>
    <w:p>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b w:val="0"/>
          <w:sz w:val="32"/>
          <w:szCs w:val="32"/>
        </w:rPr>
      </w:pPr>
      <w:r>
        <w:rPr>
          <w:rFonts w:hint="eastAsia" w:ascii="黑体" w:hAnsi="黑体" w:eastAsia="黑体"/>
          <w:b w:val="0"/>
          <w:sz w:val="32"/>
          <w:szCs w:val="32"/>
        </w:rPr>
        <w:t>公开时间：2022年9月1</w:t>
      </w:r>
      <w:r>
        <w:rPr>
          <w:rFonts w:hint="eastAsia" w:ascii="黑体" w:hAnsi="黑体" w:eastAsia="黑体"/>
          <w:b w:val="0"/>
          <w:sz w:val="32"/>
          <w:szCs w:val="32"/>
          <w:lang w:val="en-US" w:eastAsia="zh-CN"/>
        </w:rPr>
        <w:t>4</w:t>
      </w:r>
      <w:r>
        <w:rPr>
          <w:rFonts w:hint="eastAsia" w:ascii="黑体" w:hAnsi="黑体" w:eastAsia="黑体"/>
          <w:b w:val="0"/>
          <w:sz w:val="32"/>
          <w:szCs w:val="32"/>
        </w:rPr>
        <w:t>日</w:t>
      </w:r>
    </w:p>
    <w:p>
      <w:pPr>
        <w:pStyle w:val="2"/>
        <w:keepNext/>
        <w:keepLines/>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b w:val="0"/>
          <w:sz w:val="32"/>
          <w:szCs w:val="32"/>
        </w:rPr>
      </w:pPr>
      <w:r>
        <w:rPr>
          <w:rFonts w:hint="eastAsia" w:ascii="黑体" w:hAnsi="黑体" w:eastAsia="黑体"/>
          <w:b w:val="0"/>
          <w:sz w:val="32"/>
          <w:szCs w:val="32"/>
        </w:rPr>
        <w:t>第一部分</w:t>
      </w:r>
      <w:r>
        <w:rPr>
          <w:rFonts w:hint="eastAsia" w:ascii="黑体" w:hAnsi="黑体" w:eastAsia="黑体"/>
          <w:b w:val="0"/>
          <w:sz w:val="32"/>
          <w:szCs w:val="32"/>
          <w:lang w:val="en-US" w:eastAsia="zh-CN"/>
        </w:rPr>
        <w:t xml:space="preserve"> </w:t>
      </w:r>
      <w:r>
        <w:rPr>
          <w:rFonts w:hint="eastAsia" w:ascii="黑体" w:hAnsi="黑体" w:eastAsia="黑体"/>
          <w:b w:val="0"/>
          <w:sz w:val="32"/>
          <w:szCs w:val="32"/>
        </w:rPr>
        <w:t>部门概况</w:t>
      </w:r>
      <w:r>
        <w:rPr>
          <w:rFonts w:hint="eastAsia" w:ascii="黑体" w:hAnsi="黑体" w:eastAsia="黑体"/>
          <w:b w:val="0"/>
          <w:sz w:val="32"/>
          <w:szCs w:val="32"/>
          <w:lang w:val="en-US" w:eastAsia="zh-CN"/>
        </w:rPr>
        <w:t>.................................</w:t>
      </w:r>
      <w:r>
        <w:rPr>
          <w:rFonts w:hint="eastAsia" w:ascii="黑体" w:hAnsi="黑体" w:eastAsia="黑体"/>
          <w:b w:val="0"/>
          <w:sz w:val="32"/>
          <w:szCs w:val="32"/>
        </w:rPr>
        <w:t>3</w:t>
      </w:r>
    </w:p>
    <w:p>
      <w:pPr>
        <w:pStyle w:val="2"/>
        <w:keepNext/>
        <w:keepLines/>
        <w:pageBreakBefore w:val="0"/>
        <w:widowControl w:val="0"/>
        <w:kinsoku/>
        <w:wordWrap/>
        <w:overflowPunct/>
        <w:topLinePunct w:val="0"/>
        <w:autoSpaceDE/>
        <w:autoSpaceDN/>
        <w:bidi w:val="0"/>
        <w:adjustRightInd/>
        <w:snapToGrid/>
        <w:spacing w:line="320" w:lineRule="exact"/>
        <w:ind w:firstLine="640" w:firstLineChars="200"/>
        <w:jc w:val="both"/>
        <w:textAlignment w:val="auto"/>
        <w:rPr>
          <w:rFonts w:hint="default" w:ascii="黑体" w:hAnsi="黑体" w:eastAsia="黑体"/>
          <w:b w:val="0"/>
          <w:sz w:val="32"/>
          <w:szCs w:val="32"/>
          <w:lang w:val="en-US" w:eastAsia="zh-CN"/>
        </w:rPr>
      </w:pPr>
      <w:r>
        <w:rPr>
          <w:rFonts w:hint="eastAsia" w:ascii="黑体" w:hAnsi="黑体" w:eastAsia="黑体"/>
          <w:b w:val="0"/>
          <w:sz w:val="32"/>
          <w:szCs w:val="32"/>
        </w:rPr>
        <w:t>一、</w:t>
      </w:r>
      <w:r>
        <w:rPr>
          <w:rFonts w:hint="eastAsia" w:ascii="黑体" w:hAnsi="黑体" w:eastAsia="黑体"/>
          <w:b w:val="0"/>
          <w:sz w:val="32"/>
          <w:szCs w:val="32"/>
          <w:lang w:val="en-US" w:eastAsia="zh-CN"/>
        </w:rPr>
        <w:t>职能简介..................................3</w:t>
      </w:r>
    </w:p>
    <w:p>
      <w:pPr>
        <w:pStyle w:val="2"/>
        <w:keepNext/>
        <w:keepLines/>
        <w:pageBreakBefore w:val="0"/>
        <w:widowControl w:val="0"/>
        <w:kinsoku/>
        <w:wordWrap/>
        <w:overflowPunct/>
        <w:topLinePunct w:val="0"/>
        <w:autoSpaceDE/>
        <w:autoSpaceDN/>
        <w:bidi w:val="0"/>
        <w:adjustRightInd/>
        <w:snapToGrid/>
        <w:spacing w:line="320" w:lineRule="exact"/>
        <w:ind w:firstLine="640" w:firstLineChars="200"/>
        <w:jc w:val="both"/>
        <w:textAlignment w:val="auto"/>
        <w:rPr>
          <w:rFonts w:hint="default" w:ascii="黑体" w:hAnsi="黑体" w:eastAsia="黑体"/>
          <w:b w:val="0"/>
          <w:sz w:val="32"/>
          <w:szCs w:val="32"/>
          <w:lang w:val="en-US" w:eastAsia="zh-CN"/>
        </w:rPr>
      </w:pPr>
      <w:r>
        <w:rPr>
          <w:rFonts w:hint="eastAsia" w:ascii="黑体" w:hAnsi="黑体" w:eastAsia="黑体"/>
          <w:b w:val="0"/>
          <w:sz w:val="32"/>
          <w:szCs w:val="32"/>
          <w:lang w:val="en-US" w:eastAsia="zh-CN"/>
        </w:rPr>
        <w:t>二、机构设置..................................4</w:t>
      </w:r>
    </w:p>
    <w:p>
      <w:pPr>
        <w:pStyle w:val="2"/>
        <w:keepNext/>
        <w:keepLines/>
        <w:pageBreakBefore w:val="0"/>
        <w:widowControl w:val="0"/>
        <w:kinsoku/>
        <w:wordWrap/>
        <w:overflowPunct/>
        <w:topLinePunct w:val="0"/>
        <w:autoSpaceDE/>
        <w:autoSpaceDN/>
        <w:bidi w:val="0"/>
        <w:adjustRightInd/>
        <w:snapToGrid/>
        <w:spacing w:line="320" w:lineRule="exact"/>
        <w:ind w:firstLine="640" w:firstLineChars="200"/>
        <w:jc w:val="both"/>
        <w:textAlignment w:val="auto"/>
        <w:rPr>
          <w:rFonts w:hint="default" w:ascii="黑体" w:hAnsi="黑体" w:eastAsia="黑体"/>
          <w:b w:val="0"/>
          <w:sz w:val="32"/>
          <w:szCs w:val="32"/>
          <w:lang w:val="en-US" w:eastAsia="zh-CN"/>
        </w:rPr>
      </w:pPr>
      <w:r>
        <w:rPr>
          <w:rFonts w:hint="eastAsia" w:ascii="黑体" w:hAnsi="黑体" w:eastAsia="黑体"/>
          <w:b w:val="0"/>
          <w:sz w:val="32"/>
          <w:szCs w:val="32"/>
          <w:lang w:val="en-US" w:eastAsia="zh-CN"/>
        </w:rPr>
        <w:t>三</w:t>
      </w:r>
      <w:r>
        <w:rPr>
          <w:rFonts w:hint="eastAsia" w:ascii="黑体" w:hAnsi="黑体" w:eastAsia="黑体"/>
          <w:b w:val="0"/>
          <w:sz w:val="32"/>
          <w:szCs w:val="32"/>
        </w:rPr>
        <w:t>、</w:t>
      </w:r>
      <w:r>
        <w:rPr>
          <w:rFonts w:hint="eastAsia" w:ascii="黑体" w:hAnsi="黑体" w:eastAsia="黑体"/>
          <w:b w:val="0"/>
          <w:sz w:val="32"/>
          <w:szCs w:val="32"/>
          <w:lang w:val="en-US" w:eastAsia="zh-CN"/>
        </w:rPr>
        <w:t>2021年重点工作完成情况....................5</w:t>
      </w:r>
    </w:p>
    <w:p>
      <w:pPr>
        <w:pStyle w:val="2"/>
        <w:keepNext/>
        <w:keepLines/>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b w:val="0"/>
          <w:sz w:val="32"/>
          <w:szCs w:val="32"/>
        </w:rPr>
      </w:pPr>
      <w:r>
        <w:rPr>
          <w:rFonts w:hint="eastAsia" w:ascii="黑体" w:hAnsi="黑体" w:eastAsia="黑体"/>
          <w:b w:val="0"/>
          <w:sz w:val="32"/>
          <w:szCs w:val="32"/>
        </w:rPr>
        <w:t>第二部分</w:t>
      </w:r>
      <w:r>
        <w:rPr>
          <w:rFonts w:hint="eastAsia" w:ascii="黑体" w:hAnsi="黑体" w:eastAsia="黑体"/>
          <w:b w:val="0"/>
          <w:sz w:val="32"/>
          <w:szCs w:val="32"/>
          <w:lang w:val="en-US" w:eastAsia="zh-CN"/>
        </w:rPr>
        <w:t xml:space="preserve"> </w:t>
      </w:r>
      <w:r>
        <w:rPr>
          <w:rFonts w:hint="eastAsia" w:ascii="黑体" w:hAnsi="黑体" w:eastAsia="黑体"/>
          <w:b w:val="0"/>
          <w:sz w:val="32"/>
          <w:szCs w:val="32"/>
        </w:rPr>
        <w:t>2021年度</w:t>
      </w:r>
      <w:r>
        <w:rPr>
          <w:rFonts w:hint="eastAsia" w:ascii="黑体" w:hAnsi="黑体" w:eastAsia="黑体"/>
          <w:b w:val="0"/>
          <w:sz w:val="32"/>
          <w:szCs w:val="32"/>
          <w:lang w:val="en-US" w:eastAsia="zh-CN"/>
        </w:rPr>
        <w:t>单位</w:t>
      </w:r>
      <w:r>
        <w:rPr>
          <w:rFonts w:hint="eastAsia" w:ascii="黑体" w:hAnsi="黑体" w:eastAsia="黑体"/>
          <w:b w:val="0"/>
          <w:sz w:val="32"/>
          <w:szCs w:val="32"/>
        </w:rPr>
        <w:t>决算情况说明</w:t>
      </w:r>
      <w:r>
        <w:rPr>
          <w:rFonts w:hint="eastAsia" w:ascii="黑体" w:hAnsi="黑体" w:eastAsia="黑体"/>
          <w:b w:val="0"/>
          <w:sz w:val="32"/>
          <w:szCs w:val="32"/>
          <w:lang w:val="en-US" w:eastAsia="zh-CN"/>
        </w:rPr>
        <w:t>.................8</w:t>
      </w:r>
    </w:p>
    <w:p>
      <w:pPr>
        <w:pStyle w:val="2"/>
        <w:keepNext/>
        <w:keepLines/>
        <w:pageBreakBefore w:val="0"/>
        <w:widowControl w:val="0"/>
        <w:kinsoku/>
        <w:wordWrap/>
        <w:overflowPunct/>
        <w:topLinePunct w:val="0"/>
        <w:autoSpaceDE/>
        <w:autoSpaceDN/>
        <w:bidi w:val="0"/>
        <w:adjustRightInd/>
        <w:snapToGrid/>
        <w:spacing w:line="320" w:lineRule="exact"/>
        <w:ind w:firstLine="640" w:firstLineChars="200"/>
        <w:jc w:val="both"/>
        <w:textAlignment w:val="auto"/>
        <w:rPr>
          <w:rFonts w:hint="eastAsia" w:ascii="黑体" w:hAnsi="黑体" w:eastAsia="黑体"/>
          <w:b w:val="0"/>
          <w:sz w:val="32"/>
          <w:szCs w:val="32"/>
          <w:lang w:eastAsia="zh-CN"/>
        </w:rPr>
      </w:pPr>
      <w:r>
        <w:rPr>
          <w:rFonts w:hint="eastAsia" w:ascii="黑体" w:hAnsi="黑体" w:eastAsia="黑体"/>
          <w:b w:val="0"/>
          <w:sz w:val="32"/>
          <w:szCs w:val="32"/>
        </w:rPr>
        <w:t>一、收入支出决算总体情况说明</w:t>
      </w:r>
      <w:r>
        <w:rPr>
          <w:rFonts w:hint="eastAsia" w:ascii="黑体" w:hAnsi="黑体" w:eastAsia="黑体"/>
          <w:b w:val="0"/>
          <w:sz w:val="32"/>
          <w:szCs w:val="32"/>
          <w:lang w:val="en-US" w:eastAsia="zh-CN"/>
        </w:rPr>
        <w:t>..................8</w:t>
      </w:r>
    </w:p>
    <w:p>
      <w:pPr>
        <w:pStyle w:val="2"/>
        <w:keepNext/>
        <w:keepLines/>
        <w:pageBreakBefore w:val="0"/>
        <w:widowControl w:val="0"/>
        <w:kinsoku/>
        <w:wordWrap/>
        <w:overflowPunct/>
        <w:topLinePunct w:val="0"/>
        <w:autoSpaceDE/>
        <w:autoSpaceDN/>
        <w:bidi w:val="0"/>
        <w:adjustRightInd/>
        <w:snapToGrid/>
        <w:spacing w:line="320" w:lineRule="exact"/>
        <w:ind w:firstLine="640" w:firstLineChars="200"/>
        <w:jc w:val="both"/>
        <w:textAlignment w:val="auto"/>
        <w:rPr>
          <w:rFonts w:hint="eastAsia" w:ascii="黑体" w:hAnsi="黑体" w:eastAsia="黑体"/>
          <w:b w:val="0"/>
          <w:sz w:val="32"/>
          <w:szCs w:val="32"/>
        </w:rPr>
      </w:pPr>
      <w:r>
        <w:rPr>
          <w:rFonts w:hint="eastAsia" w:ascii="黑体" w:hAnsi="黑体" w:eastAsia="黑体"/>
          <w:b w:val="0"/>
          <w:sz w:val="32"/>
          <w:szCs w:val="32"/>
        </w:rPr>
        <w:t>二、收入决算情况说明</w:t>
      </w:r>
      <w:r>
        <w:rPr>
          <w:rFonts w:hint="eastAsia" w:ascii="黑体" w:hAnsi="黑体" w:eastAsia="黑体"/>
          <w:b w:val="0"/>
          <w:sz w:val="32"/>
          <w:szCs w:val="32"/>
          <w:lang w:val="en-US" w:eastAsia="zh-CN"/>
        </w:rPr>
        <w:t>..........................</w:t>
      </w:r>
      <w:r>
        <w:rPr>
          <w:rFonts w:hint="eastAsia" w:ascii="黑体" w:hAnsi="黑体" w:eastAsia="黑体"/>
          <w:b w:val="0"/>
          <w:sz w:val="32"/>
          <w:szCs w:val="32"/>
        </w:rPr>
        <w:t>8</w:t>
      </w:r>
    </w:p>
    <w:p>
      <w:pPr>
        <w:pStyle w:val="2"/>
        <w:keepNext/>
        <w:keepLines/>
        <w:pageBreakBefore w:val="0"/>
        <w:widowControl w:val="0"/>
        <w:kinsoku/>
        <w:wordWrap/>
        <w:overflowPunct/>
        <w:topLinePunct w:val="0"/>
        <w:autoSpaceDE/>
        <w:autoSpaceDN/>
        <w:bidi w:val="0"/>
        <w:adjustRightInd/>
        <w:snapToGrid/>
        <w:spacing w:line="320" w:lineRule="exact"/>
        <w:ind w:firstLine="640" w:firstLineChars="200"/>
        <w:jc w:val="both"/>
        <w:textAlignment w:val="auto"/>
        <w:rPr>
          <w:rFonts w:hint="eastAsia" w:ascii="黑体" w:hAnsi="黑体" w:eastAsia="黑体"/>
          <w:b w:val="0"/>
          <w:sz w:val="32"/>
          <w:szCs w:val="32"/>
          <w:lang w:eastAsia="zh-CN"/>
        </w:rPr>
      </w:pPr>
      <w:r>
        <w:rPr>
          <w:rFonts w:hint="eastAsia" w:ascii="黑体" w:hAnsi="黑体" w:eastAsia="黑体"/>
          <w:b w:val="0"/>
          <w:sz w:val="32"/>
          <w:szCs w:val="32"/>
        </w:rPr>
        <w:t>三、支出决算情况说明</w:t>
      </w:r>
      <w:r>
        <w:rPr>
          <w:rFonts w:hint="eastAsia" w:ascii="黑体" w:hAnsi="黑体" w:eastAsia="黑体"/>
          <w:b w:val="0"/>
          <w:sz w:val="32"/>
          <w:szCs w:val="32"/>
          <w:lang w:val="en-US" w:eastAsia="zh-CN"/>
        </w:rPr>
        <w:t>..........................9</w:t>
      </w:r>
    </w:p>
    <w:p>
      <w:pPr>
        <w:pStyle w:val="2"/>
        <w:keepNext/>
        <w:keepLines/>
        <w:pageBreakBefore w:val="0"/>
        <w:widowControl w:val="0"/>
        <w:kinsoku/>
        <w:wordWrap/>
        <w:overflowPunct/>
        <w:topLinePunct w:val="0"/>
        <w:autoSpaceDE/>
        <w:autoSpaceDN/>
        <w:bidi w:val="0"/>
        <w:adjustRightInd/>
        <w:snapToGrid/>
        <w:spacing w:line="320" w:lineRule="exact"/>
        <w:ind w:firstLine="640" w:firstLineChars="200"/>
        <w:jc w:val="both"/>
        <w:textAlignment w:val="auto"/>
        <w:rPr>
          <w:rFonts w:hint="default" w:ascii="黑体" w:hAnsi="黑体" w:eastAsia="黑体"/>
          <w:b w:val="0"/>
          <w:sz w:val="32"/>
          <w:szCs w:val="32"/>
          <w:lang w:val="en-US" w:eastAsia="zh-CN"/>
        </w:rPr>
      </w:pPr>
      <w:r>
        <w:rPr>
          <w:rFonts w:hint="eastAsia" w:ascii="黑体" w:hAnsi="黑体" w:eastAsia="黑体"/>
          <w:b w:val="0"/>
          <w:sz w:val="32"/>
          <w:szCs w:val="32"/>
        </w:rPr>
        <w:t>四、财政拨款收入支出决算总体情况说明</w:t>
      </w:r>
      <w:r>
        <w:rPr>
          <w:rFonts w:hint="eastAsia" w:ascii="黑体" w:hAnsi="黑体" w:eastAsia="黑体"/>
          <w:b w:val="0"/>
          <w:sz w:val="32"/>
          <w:szCs w:val="32"/>
          <w:lang w:val="en-US" w:eastAsia="zh-CN"/>
        </w:rPr>
        <w:t>..........10</w:t>
      </w:r>
    </w:p>
    <w:p>
      <w:pPr>
        <w:pStyle w:val="2"/>
        <w:keepNext/>
        <w:keepLines/>
        <w:pageBreakBefore w:val="0"/>
        <w:widowControl w:val="0"/>
        <w:kinsoku/>
        <w:wordWrap/>
        <w:overflowPunct/>
        <w:topLinePunct w:val="0"/>
        <w:autoSpaceDE/>
        <w:autoSpaceDN/>
        <w:bidi w:val="0"/>
        <w:adjustRightInd/>
        <w:snapToGrid/>
        <w:spacing w:line="320" w:lineRule="exact"/>
        <w:ind w:firstLine="640" w:firstLineChars="200"/>
        <w:jc w:val="both"/>
        <w:textAlignment w:val="auto"/>
        <w:rPr>
          <w:rFonts w:hint="default" w:ascii="黑体" w:hAnsi="黑体" w:eastAsia="黑体"/>
          <w:b w:val="0"/>
          <w:sz w:val="32"/>
          <w:szCs w:val="32"/>
          <w:lang w:val="en-US" w:eastAsia="zh-CN"/>
        </w:rPr>
      </w:pPr>
      <w:r>
        <w:rPr>
          <w:rFonts w:hint="eastAsia" w:ascii="黑体" w:hAnsi="黑体" w:eastAsia="黑体"/>
          <w:b w:val="0"/>
          <w:sz w:val="32"/>
          <w:szCs w:val="32"/>
        </w:rPr>
        <w:t>五、一般公共预算财政拨款支出决算情况说明</w:t>
      </w:r>
      <w:r>
        <w:rPr>
          <w:rFonts w:hint="eastAsia" w:ascii="黑体" w:hAnsi="黑体" w:eastAsia="黑体"/>
          <w:b w:val="0"/>
          <w:sz w:val="32"/>
          <w:szCs w:val="32"/>
        </w:rPr>
        <w:tab/>
      </w:r>
      <w:r>
        <w:rPr>
          <w:rFonts w:hint="eastAsia" w:ascii="黑体" w:hAnsi="黑体" w:eastAsia="黑体"/>
          <w:b w:val="0"/>
          <w:sz w:val="32"/>
          <w:szCs w:val="32"/>
          <w:lang w:val="en-US" w:eastAsia="zh-CN"/>
        </w:rPr>
        <w:t>.....10</w:t>
      </w:r>
    </w:p>
    <w:p>
      <w:pPr>
        <w:pStyle w:val="2"/>
        <w:keepNext/>
        <w:keepLines/>
        <w:pageBreakBefore w:val="0"/>
        <w:widowControl w:val="0"/>
        <w:kinsoku/>
        <w:wordWrap/>
        <w:overflowPunct/>
        <w:topLinePunct w:val="0"/>
        <w:autoSpaceDE/>
        <w:autoSpaceDN/>
        <w:bidi w:val="0"/>
        <w:adjustRightInd/>
        <w:snapToGrid/>
        <w:spacing w:line="320" w:lineRule="exact"/>
        <w:ind w:firstLine="640" w:firstLineChars="200"/>
        <w:jc w:val="both"/>
        <w:textAlignment w:val="auto"/>
        <w:rPr>
          <w:rFonts w:hint="default" w:ascii="黑体" w:hAnsi="黑体" w:eastAsia="黑体"/>
          <w:b w:val="0"/>
          <w:sz w:val="32"/>
          <w:szCs w:val="32"/>
          <w:lang w:val="en-US" w:eastAsia="zh-CN"/>
        </w:rPr>
      </w:pPr>
      <w:r>
        <w:rPr>
          <w:rFonts w:hint="eastAsia" w:ascii="黑体" w:hAnsi="黑体" w:eastAsia="黑体"/>
          <w:b w:val="0"/>
          <w:sz w:val="32"/>
          <w:szCs w:val="32"/>
        </w:rPr>
        <w:t>六、一般公共预算财政拨款基本支出决算情况说明</w:t>
      </w:r>
      <w:r>
        <w:rPr>
          <w:rFonts w:hint="eastAsia" w:ascii="黑体" w:hAnsi="黑体" w:eastAsia="黑体"/>
          <w:b w:val="0"/>
          <w:sz w:val="32"/>
          <w:szCs w:val="32"/>
          <w:lang w:val="en-US" w:eastAsia="zh-CN"/>
        </w:rPr>
        <w:t>.13</w:t>
      </w:r>
    </w:p>
    <w:p>
      <w:pPr>
        <w:pStyle w:val="2"/>
        <w:keepNext/>
        <w:keepLines/>
        <w:pageBreakBefore w:val="0"/>
        <w:widowControl w:val="0"/>
        <w:kinsoku/>
        <w:wordWrap/>
        <w:overflowPunct/>
        <w:topLinePunct w:val="0"/>
        <w:autoSpaceDE/>
        <w:autoSpaceDN/>
        <w:bidi w:val="0"/>
        <w:adjustRightInd/>
        <w:snapToGrid/>
        <w:spacing w:line="320" w:lineRule="exact"/>
        <w:ind w:firstLine="640" w:firstLineChars="200"/>
        <w:jc w:val="both"/>
        <w:textAlignment w:val="auto"/>
        <w:rPr>
          <w:rFonts w:hint="eastAsia" w:ascii="黑体" w:hAnsi="黑体" w:eastAsia="黑体"/>
          <w:b w:val="0"/>
          <w:sz w:val="32"/>
          <w:szCs w:val="32"/>
          <w:lang w:eastAsia="zh-CN"/>
        </w:rPr>
      </w:pPr>
      <w:r>
        <w:rPr>
          <w:rFonts w:hint="eastAsia" w:ascii="黑体" w:hAnsi="黑体" w:eastAsia="黑体"/>
          <w:b w:val="0"/>
          <w:sz w:val="32"/>
          <w:szCs w:val="32"/>
        </w:rPr>
        <w:t>七、“三公”经费财政拨款支出决算情况说明</w:t>
      </w:r>
      <w:r>
        <w:rPr>
          <w:rFonts w:hint="eastAsia" w:ascii="黑体" w:hAnsi="黑体" w:eastAsia="黑体"/>
          <w:b w:val="0"/>
          <w:sz w:val="32"/>
          <w:szCs w:val="32"/>
          <w:lang w:val="en-US" w:eastAsia="zh-CN"/>
        </w:rPr>
        <w:t>.....</w:t>
      </w:r>
      <w:r>
        <w:rPr>
          <w:rFonts w:hint="eastAsia" w:ascii="黑体" w:hAnsi="黑体" w:eastAsia="黑体"/>
          <w:b w:val="0"/>
          <w:sz w:val="32"/>
          <w:szCs w:val="32"/>
        </w:rPr>
        <w:t>1</w:t>
      </w:r>
      <w:r>
        <w:rPr>
          <w:rFonts w:hint="eastAsia" w:ascii="黑体" w:hAnsi="黑体" w:eastAsia="黑体"/>
          <w:b w:val="0"/>
          <w:sz w:val="32"/>
          <w:szCs w:val="32"/>
          <w:lang w:val="en-US" w:eastAsia="zh-CN"/>
        </w:rPr>
        <w:t>4</w:t>
      </w:r>
    </w:p>
    <w:p>
      <w:pPr>
        <w:pStyle w:val="2"/>
        <w:keepNext/>
        <w:keepLines/>
        <w:pageBreakBefore w:val="0"/>
        <w:widowControl w:val="0"/>
        <w:kinsoku/>
        <w:wordWrap/>
        <w:overflowPunct/>
        <w:topLinePunct w:val="0"/>
        <w:autoSpaceDE/>
        <w:autoSpaceDN/>
        <w:bidi w:val="0"/>
        <w:adjustRightInd/>
        <w:snapToGrid/>
        <w:spacing w:line="320" w:lineRule="exact"/>
        <w:ind w:firstLine="640" w:firstLineChars="200"/>
        <w:jc w:val="both"/>
        <w:textAlignment w:val="auto"/>
        <w:rPr>
          <w:rFonts w:hint="eastAsia" w:ascii="黑体" w:hAnsi="黑体" w:eastAsia="黑体"/>
          <w:b w:val="0"/>
          <w:sz w:val="32"/>
          <w:szCs w:val="32"/>
          <w:lang w:eastAsia="zh-CN"/>
        </w:rPr>
      </w:pPr>
      <w:r>
        <w:rPr>
          <w:rFonts w:hint="eastAsia" w:ascii="黑体" w:hAnsi="黑体" w:eastAsia="黑体"/>
          <w:b w:val="0"/>
          <w:sz w:val="32"/>
          <w:szCs w:val="32"/>
        </w:rPr>
        <w:t>八、政府性基金预算支出决算情况说明</w:t>
      </w:r>
      <w:r>
        <w:rPr>
          <w:rFonts w:hint="eastAsia" w:ascii="黑体" w:hAnsi="黑体" w:eastAsia="黑体"/>
          <w:b w:val="0"/>
          <w:sz w:val="32"/>
          <w:szCs w:val="32"/>
          <w:lang w:val="en-US" w:eastAsia="zh-CN"/>
        </w:rPr>
        <w:t>...........</w:t>
      </w:r>
      <w:r>
        <w:rPr>
          <w:rFonts w:hint="eastAsia" w:ascii="黑体" w:hAnsi="黑体" w:eastAsia="黑体"/>
          <w:b w:val="0"/>
          <w:sz w:val="32"/>
          <w:szCs w:val="32"/>
        </w:rPr>
        <w:t>1</w:t>
      </w:r>
      <w:r>
        <w:rPr>
          <w:rFonts w:hint="eastAsia" w:ascii="黑体" w:hAnsi="黑体" w:eastAsia="黑体"/>
          <w:b w:val="0"/>
          <w:sz w:val="32"/>
          <w:szCs w:val="32"/>
          <w:lang w:val="en-US" w:eastAsia="zh-CN"/>
        </w:rPr>
        <w:t>5</w:t>
      </w:r>
    </w:p>
    <w:p>
      <w:pPr>
        <w:pStyle w:val="2"/>
        <w:keepNext/>
        <w:keepLines/>
        <w:pageBreakBefore w:val="0"/>
        <w:widowControl w:val="0"/>
        <w:kinsoku/>
        <w:wordWrap/>
        <w:overflowPunct/>
        <w:topLinePunct w:val="0"/>
        <w:autoSpaceDE/>
        <w:autoSpaceDN/>
        <w:bidi w:val="0"/>
        <w:adjustRightInd/>
        <w:snapToGrid/>
        <w:spacing w:line="320" w:lineRule="exact"/>
        <w:ind w:firstLine="640" w:firstLineChars="200"/>
        <w:jc w:val="both"/>
        <w:textAlignment w:val="auto"/>
        <w:rPr>
          <w:rFonts w:hint="eastAsia" w:ascii="黑体" w:hAnsi="黑体" w:eastAsia="黑体"/>
          <w:b w:val="0"/>
          <w:sz w:val="32"/>
          <w:szCs w:val="32"/>
          <w:lang w:eastAsia="zh-CN"/>
        </w:rPr>
      </w:pPr>
      <w:r>
        <w:rPr>
          <w:rFonts w:hint="eastAsia" w:ascii="黑体" w:hAnsi="黑体" w:eastAsia="黑体"/>
          <w:b w:val="0"/>
          <w:sz w:val="32"/>
          <w:szCs w:val="32"/>
        </w:rPr>
        <w:t>九、 国有资本经营预算支出决算情况说明</w:t>
      </w:r>
      <w:r>
        <w:rPr>
          <w:rFonts w:hint="eastAsia" w:ascii="黑体" w:hAnsi="黑体" w:eastAsia="黑体"/>
          <w:b w:val="0"/>
          <w:sz w:val="32"/>
          <w:szCs w:val="32"/>
          <w:lang w:val="en-US" w:eastAsia="zh-CN"/>
        </w:rPr>
        <w:t>........</w:t>
      </w:r>
      <w:r>
        <w:rPr>
          <w:rFonts w:hint="eastAsia" w:ascii="黑体" w:hAnsi="黑体" w:eastAsia="黑体"/>
          <w:b w:val="0"/>
          <w:sz w:val="32"/>
          <w:szCs w:val="32"/>
        </w:rPr>
        <w:t>1</w:t>
      </w:r>
      <w:r>
        <w:rPr>
          <w:rFonts w:hint="eastAsia" w:ascii="黑体" w:hAnsi="黑体" w:eastAsia="黑体"/>
          <w:b w:val="0"/>
          <w:sz w:val="32"/>
          <w:szCs w:val="32"/>
          <w:lang w:val="en-US" w:eastAsia="zh-CN"/>
        </w:rPr>
        <w:t>5</w:t>
      </w:r>
    </w:p>
    <w:p>
      <w:pPr>
        <w:pStyle w:val="2"/>
        <w:keepNext/>
        <w:keepLines/>
        <w:pageBreakBefore w:val="0"/>
        <w:widowControl w:val="0"/>
        <w:kinsoku/>
        <w:wordWrap/>
        <w:overflowPunct/>
        <w:topLinePunct w:val="0"/>
        <w:autoSpaceDE/>
        <w:autoSpaceDN/>
        <w:bidi w:val="0"/>
        <w:adjustRightInd/>
        <w:snapToGrid/>
        <w:spacing w:line="320" w:lineRule="exact"/>
        <w:ind w:firstLine="640" w:firstLineChars="200"/>
        <w:jc w:val="both"/>
        <w:textAlignment w:val="auto"/>
        <w:rPr>
          <w:rFonts w:hint="eastAsia" w:ascii="黑体" w:hAnsi="黑体" w:eastAsia="黑体"/>
          <w:b w:val="0"/>
          <w:sz w:val="32"/>
          <w:szCs w:val="32"/>
          <w:lang w:eastAsia="zh-CN"/>
        </w:rPr>
      </w:pPr>
      <w:r>
        <w:rPr>
          <w:rFonts w:hint="eastAsia" w:ascii="黑体" w:hAnsi="黑体" w:eastAsia="黑体"/>
          <w:b w:val="0"/>
          <w:sz w:val="32"/>
          <w:szCs w:val="32"/>
        </w:rPr>
        <w:t>十、 其他重要事项的情况说明</w:t>
      </w:r>
      <w:r>
        <w:rPr>
          <w:rFonts w:hint="eastAsia" w:ascii="黑体" w:hAnsi="黑体" w:eastAsia="黑体"/>
          <w:b w:val="0"/>
          <w:sz w:val="32"/>
          <w:szCs w:val="32"/>
          <w:lang w:val="en-US" w:eastAsia="zh-CN"/>
        </w:rPr>
        <w:t>..................</w:t>
      </w:r>
      <w:r>
        <w:rPr>
          <w:rFonts w:hint="eastAsia" w:ascii="黑体" w:hAnsi="黑体" w:eastAsia="黑体"/>
          <w:b w:val="0"/>
          <w:sz w:val="32"/>
          <w:szCs w:val="32"/>
        </w:rPr>
        <w:t>1</w:t>
      </w:r>
      <w:r>
        <w:rPr>
          <w:rFonts w:hint="eastAsia" w:ascii="黑体" w:hAnsi="黑体" w:eastAsia="黑体"/>
          <w:b w:val="0"/>
          <w:sz w:val="32"/>
          <w:szCs w:val="32"/>
          <w:lang w:val="en-US" w:eastAsia="zh-CN"/>
        </w:rPr>
        <w:t>5</w:t>
      </w:r>
    </w:p>
    <w:p>
      <w:pPr>
        <w:pStyle w:val="2"/>
        <w:keepNext/>
        <w:keepLines/>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b w:val="0"/>
          <w:sz w:val="32"/>
          <w:szCs w:val="32"/>
          <w:lang w:eastAsia="zh-CN"/>
        </w:rPr>
      </w:pPr>
      <w:r>
        <w:rPr>
          <w:rFonts w:hint="eastAsia" w:ascii="黑体" w:hAnsi="黑体" w:eastAsia="黑体"/>
          <w:b w:val="0"/>
          <w:sz w:val="32"/>
          <w:szCs w:val="32"/>
        </w:rPr>
        <w:t>第三部分 名词解释</w:t>
      </w:r>
      <w:r>
        <w:rPr>
          <w:rFonts w:hint="eastAsia" w:ascii="黑体" w:hAnsi="黑体" w:eastAsia="黑体"/>
          <w:b w:val="0"/>
          <w:sz w:val="32"/>
          <w:szCs w:val="32"/>
          <w:lang w:val="en-US" w:eastAsia="zh-CN"/>
        </w:rPr>
        <w:t>................................</w:t>
      </w:r>
      <w:r>
        <w:rPr>
          <w:rFonts w:hint="eastAsia" w:ascii="黑体" w:hAnsi="黑体" w:eastAsia="黑体"/>
          <w:b w:val="0"/>
          <w:sz w:val="32"/>
          <w:szCs w:val="32"/>
        </w:rPr>
        <w:t>1</w:t>
      </w:r>
      <w:r>
        <w:rPr>
          <w:rFonts w:hint="eastAsia" w:ascii="黑体" w:hAnsi="黑体" w:eastAsia="黑体"/>
          <w:b w:val="0"/>
          <w:sz w:val="32"/>
          <w:szCs w:val="32"/>
          <w:lang w:val="en-US" w:eastAsia="zh-CN"/>
        </w:rPr>
        <w:t>7</w:t>
      </w:r>
    </w:p>
    <w:p>
      <w:pPr>
        <w:pStyle w:val="2"/>
        <w:keepNext/>
        <w:keepLines/>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b w:val="0"/>
          <w:sz w:val="32"/>
          <w:szCs w:val="32"/>
          <w:lang w:val="en-US" w:eastAsia="zh-CN"/>
        </w:rPr>
      </w:pPr>
      <w:r>
        <w:rPr>
          <w:rFonts w:hint="eastAsia" w:ascii="黑体" w:hAnsi="黑体" w:eastAsia="黑体"/>
          <w:b w:val="0"/>
          <w:sz w:val="32"/>
          <w:szCs w:val="32"/>
        </w:rPr>
        <w:t>第四部分</w:t>
      </w:r>
      <w:r>
        <w:rPr>
          <w:rFonts w:hint="eastAsia" w:ascii="黑体" w:hAnsi="黑体" w:eastAsia="黑体"/>
          <w:b w:val="0"/>
          <w:sz w:val="32"/>
          <w:szCs w:val="32"/>
          <w:lang w:val="en-US" w:eastAsia="zh-CN"/>
        </w:rPr>
        <w:t xml:space="preserve"> </w:t>
      </w:r>
      <w:r>
        <w:rPr>
          <w:rFonts w:hint="eastAsia" w:ascii="黑体" w:hAnsi="黑体" w:eastAsia="黑体"/>
          <w:b w:val="0"/>
          <w:sz w:val="32"/>
          <w:szCs w:val="32"/>
        </w:rPr>
        <w:t>附件</w:t>
      </w:r>
      <w:r>
        <w:rPr>
          <w:rFonts w:hint="eastAsia" w:ascii="黑体" w:hAnsi="黑体" w:eastAsia="黑体"/>
          <w:b w:val="0"/>
          <w:sz w:val="32"/>
          <w:szCs w:val="32"/>
          <w:lang w:val="en-US" w:eastAsia="zh-CN"/>
        </w:rPr>
        <w:t>....................................19</w:t>
      </w:r>
    </w:p>
    <w:p>
      <w:pPr>
        <w:pStyle w:val="2"/>
        <w:keepNext/>
        <w:keepLines/>
        <w:pageBreakBefore w:val="0"/>
        <w:widowControl w:val="0"/>
        <w:kinsoku/>
        <w:wordWrap/>
        <w:overflowPunct/>
        <w:topLinePunct w:val="0"/>
        <w:autoSpaceDE/>
        <w:autoSpaceDN/>
        <w:bidi w:val="0"/>
        <w:adjustRightInd/>
        <w:snapToGrid/>
        <w:spacing w:line="320" w:lineRule="exact"/>
        <w:jc w:val="both"/>
        <w:textAlignment w:val="auto"/>
        <w:rPr>
          <w:rFonts w:hint="default" w:ascii="黑体" w:eastAsia="黑体"/>
          <w:sz w:val="32"/>
          <w:szCs w:val="32"/>
          <w:lang w:val="en-US" w:eastAsia="zh-CN"/>
        </w:rPr>
      </w:pPr>
      <w:r>
        <w:rPr>
          <w:rFonts w:hint="eastAsia" w:ascii="黑体" w:hAnsi="黑体" w:eastAsia="黑体"/>
          <w:b w:val="0"/>
          <w:sz w:val="32"/>
          <w:szCs w:val="32"/>
        </w:rPr>
        <w:t>第五部分</w:t>
      </w:r>
      <w:r>
        <w:rPr>
          <w:rFonts w:hint="eastAsia" w:ascii="黑体" w:hAnsi="黑体" w:eastAsia="黑体"/>
          <w:b w:val="0"/>
          <w:sz w:val="32"/>
          <w:szCs w:val="32"/>
          <w:lang w:val="en-US" w:eastAsia="zh-CN"/>
        </w:rPr>
        <w:t xml:space="preserve"> </w:t>
      </w:r>
      <w:r>
        <w:rPr>
          <w:rFonts w:hint="eastAsia" w:ascii="黑体" w:hAnsi="黑体" w:eastAsia="黑体"/>
          <w:b w:val="0"/>
          <w:sz w:val="32"/>
          <w:szCs w:val="32"/>
        </w:rPr>
        <w:t>附表</w:t>
      </w:r>
      <w:r>
        <w:rPr>
          <w:rFonts w:hint="eastAsia" w:ascii="黑体" w:hAnsi="黑体" w:eastAsia="黑体"/>
          <w:b w:val="0"/>
          <w:sz w:val="32"/>
          <w:szCs w:val="32"/>
          <w:lang w:val="en-US" w:eastAsia="zh-CN"/>
        </w:rPr>
        <w:t>....................................</w:t>
      </w:r>
      <w:bookmarkEnd w:id="14"/>
      <w:r>
        <w:rPr>
          <w:rFonts w:hint="eastAsia" w:ascii="黑体" w:hAnsi="黑体" w:eastAsia="黑体"/>
          <w:b w:val="0"/>
          <w:sz w:val="32"/>
          <w:szCs w:val="32"/>
          <w:lang w:val="en-US" w:eastAsia="zh-CN"/>
        </w:rPr>
        <w:t>31</w:t>
      </w:r>
    </w:p>
    <w:p>
      <w:bookmarkStart w:id="15" w:name="_Toc15396599"/>
      <w:bookmarkStart w:id="16" w:name="_Toc15377196"/>
    </w:p>
    <w:p>
      <w:pPr>
        <w:pStyle w:val="2"/>
        <w:jc w:val="center"/>
        <w:rPr>
          <w:rFonts w:ascii="黑体" w:eastAsia="黑体"/>
          <w:sz w:val="32"/>
          <w:szCs w:val="32"/>
        </w:rPr>
      </w:pPr>
      <w:bookmarkStart w:id="17" w:name="_Toc112832521"/>
      <w:r>
        <w:rPr>
          <w:rFonts w:hint="eastAsia" w:ascii="黑体" w:hAnsi="黑体" w:eastAsia="黑体"/>
          <w:b w:val="0"/>
        </w:rPr>
        <w:t>第一部分 单位</w:t>
      </w:r>
      <w:r>
        <w:rPr>
          <w:rStyle w:val="24"/>
          <w:rFonts w:hint="eastAsia" w:ascii="黑体" w:hAnsi="黑体" w:eastAsia="黑体"/>
          <w:b w:val="0"/>
          <w:bCs w:val="0"/>
        </w:rPr>
        <w:t>概况</w:t>
      </w:r>
      <w:bookmarkEnd w:id="15"/>
      <w:bookmarkEnd w:id="16"/>
      <w:bookmarkEnd w:id="17"/>
    </w:p>
    <w:p>
      <w:pPr>
        <w:pStyle w:val="3"/>
        <w:ind w:firstLine="640" w:firstLineChars="200"/>
        <w:rPr>
          <w:rStyle w:val="25"/>
          <w:rFonts w:ascii="黑体" w:hAnsi="黑体" w:eastAsia="黑体"/>
          <w:b w:val="0"/>
          <w:bCs w:val="0"/>
        </w:rPr>
      </w:pPr>
      <w:bookmarkStart w:id="18" w:name="_Toc112832522"/>
      <w:bookmarkStart w:id="19" w:name="_Toc15396600"/>
      <w:bookmarkStart w:id="20" w:name="_Toc15377197"/>
      <w:r>
        <w:rPr>
          <w:rStyle w:val="25"/>
          <w:rFonts w:hint="eastAsia" w:ascii="黑体" w:hAnsi="黑体" w:eastAsia="黑体"/>
          <w:b w:val="0"/>
          <w:bCs w:val="0"/>
        </w:rPr>
        <w:t>一、职能简介</w:t>
      </w:r>
      <w:bookmarkEnd w:id="18"/>
    </w:p>
    <w:p>
      <w:pPr>
        <w:spacing w:line="576" w:lineRule="exact"/>
        <w:ind w:firstLine="640" w:firstLineChars="200"/>
        <w:rPr>
          <w:rFonts w:ascii="仿宋_GB2312" w:hAnsi="仿宋" w:eastAsia="仿宋_GB2312"/>
          <w:sz w:val="32"/>
          <w:szCs w:val="32"/>
        </w:rPr>
      </w:pPr>
      <w:r>
        <w:rPr>
          <w:rFonts w:ascii="仿宋_GB2312" w:hAnsi="仿宋" w:eastAsia="仿宋_GB2312"/>
          <w:sz w:val="32"/>
          <w:szCs w:val="32"/>
        </w:rPr>
        <w:t>政务管理局贯彻落实党中央关于政务服务工作的方针政策和省委、市委的决策部署，在履行职责过程中坚持和加强党对政务服务工作的集中统一领导。主要职责是：</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组织拟订全市政务服务、行政审批制度改革和公共资源交易管理服务发展规划、政策和措施并组织、指导实施。</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负责政务服务管理工作。指导、协调并推进全市政务服务体系建设。指导、协调和监督市级部门（单位）政务服务工作。指导、监督相关电子政务服务平台建设和运行工作。对县、区政务服务管理机构进行业务指导。</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负责指导、协调、监督并推进全市深化行政审批制度改革工作。</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负责公共资源交易服务管理工作。指导、协调并推进全市公共资源交易服务体系建设，牵头负责公共资源交易主体信用体系建设。指导、协调、监督管理公共资源交易服务工作。</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指导、协调、监督、考核进驻部门（单位）的政务服务工作，审核进驻政务服务事项，对部门（单位）独立设置的办事大厅进行业务指导和监督。</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按照省、市要求，指导、推进相对集中行政许可权改革。</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负责职责范围的安全生产和职业健康、生态环境保护、审批服务便民化等工作。</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完成市委、市政府交办的其他任务。</w:t>
      </w:r>
    </w:p>
    <w:p>
      <w:pPr>
        <w:pStyle w:val="5"/>
        <w:adjustRightInd w:val="0"/>
        <w:snapToGrid w:val="0"/>
        <w:spacing w:before="93" w:line="600" w:lineRule="exact"/>
        <w:ind w:firstLine="672" w:firstLineChars="210"/>
        <w:outlineLvl w:val="2"/>
        <w:rPr>
          <w:rFonts w:hAnsi="仿宋"/>
          <w:sz w:val="32"/>
          <w:szCs w:val="32"/>
        </w:rPr>
      </w:pPr>
      <w:bookmarkStart w:id="21" w:name="_Toc112832523"/>
      <w:r>
        <w:rPr>
          <w:rFonts w:hint="eastAsia" w:hAnsi="仿宋"/>
          <w:sz w:val="32"/>
          <w:szCs w:val="32"/>
        </w:rPr>
        <w:t>9.</w:t>
      </w:r>
      <w:r>
        <w:rPr>
          <w:rFonts w:hAnsi="仿宋"/>
          <w:sz w:val="32"/>
          <w:szCs w:val="32"/>
        </w:rPr>
        <w:t>职能转变。坚持以人民为中心的发展思想，以方便企业和群众办事为目标，努力提高政务服务质量和效率。规范行政审批行为，督促落实审批事项事中事后监管措施。加快推进审批服务便民化相关举措，持续开展减证便民行动，积极推进政务服务“一网、一门、一次”改革。</w:t>
      </w:r>
      <w:bookmarkEnd w:id="21"/>
    </w:p>
    <w:p>
      <w:pPr>
        <w:pStyle w:val="3"/>
        <w:ind w:firstLine="640" w:firstLineChars="200"/>
        <w:rPr>
          <w:rFonts w:ascii="Times New Roman" w:hAnsi="Times New Roman" w:eastAsia="仿宋_GB2312" w:cs="Times New Roman"/>
          <w:b w:val="0"/>
          <w:bCs w:val="0"/>
          <w:spacing w:val="12"/>
          <w:kern w:val="2"/>
          <w:sz w:val="32"/>
          <w:szCs w:val="24"/>
          <w:lang w:val="en-US" w:eastAsia="zh-CN" w:bidi="ar-SA"/>
        </w:rPr>
      </w:pPr>
      <w:r>
        <w:rPr>
          <w:rFonts w:hint="eastAsia" w:ascii="黑体" w:hAnsi="黑体" w:eastAsia="黑体"/>
          <w:b w:val="0"/>
        </w:rPr>
        <w:t>二、机构设置</w:t>
      </w:r>
    </w:p>
    <w:p>
      <w:pPr>
        <w:ind w:firstLine="688" w:firstLineChars="200"/>
        <w:rPr>
          <w:rFonts w:ascii="Times New Roman" w:hAnsi="Times New Roman" w:eastAsia="仿宋_GB2312" w:cs="Times New Roman"/>
          <w:b w:val="0"/>
          <w:bCs w:val="0"/>
          <w:spacing w:val="12"/>
          <w:kern w:val="2"/>
          <w:sz w:val="32"/>
          <w:szCs w:val="24"/>
          <w:lang w:val="en-US" w:eastAsia="zh-CN" w:bidi="ar-SA"/>
        </w:rPr>
      </w:pPr>
      <w:r>
        <w:rPr>
          <w:rFonts w:ascii="Times New Roman" w:hAnsi="Times New Roman" w:eastAsia="仿宋_GB2312" w:cs="Times New Roman"/>
          <w:b w:val="0"/>
          <w:bCs w:val="0"/>
          <w:spacing w:val="12"/>
          <w:kern w:val="2"/>
          <w:sz w:val="32"/>
          <w:szCs w:val="24"/>
          <w:lang w:val="en-US" w:eastAsia="zh-CN" w:bidi="ar-SA"/>
        </w:rPr>
        <w:t xml:space="preserve">市政务管理局设下列内设机构： </w:t>
      </w:r>
    </w:p>
    <w:p>
      <w:pPr>
        <w:numPr>
          <w:ilvl w:val="0"/>
          <w:numId w:val="1"/>
        </w:numPr>
        <w:ind w:firstLine="688" w:firstLineChars="200"/>
        <w:rPr>
          <w:rFonts w:ascii="Times New Roman" w:hAnsi="Times New Roman" w:eastAsia="仿宋_GB2312" w:cs="Times New Roman"/>
          <w:b w:val="0"/>
          <w:bCs w:val="0"/>
          <w:spacing w:val="12"/>
          <w:kern w:val="2"/>
          <w:sz w:val="32"/>
          <w:szCs w:val="24"/>
          <w:lang w:val="en-US" w:eastAsia="zh-CN" w:bidi="ar-SA"/>
        </w:rPr>
      </w:pPr>
      <w:r>
        <w:rPr>
          <w:rFonts w:ascii="Times New Roman" w:hAnsi="Times New Roman" w:eastAsia="仿宋_GB2312" w:cs="Times New Roman"/>
          <w:b w:val="0"/>
          <w:bCs w:val="0"/>
          <w:spacing w:val="12"/>
          <w:kern w:val="2"/>
          <w:sz w:val="32"/>
          <w:szCs w:val="24"/>
          <w:lang w:val="en-US" w:eastAsia="zh-CN" w:bidi="ar-SA"/>
        </w:rPr>
        <w:t xml:space="preserve">办公室。负责文电、会务、档案、机要、安全、 财务、国有资产管理等机关日常运转工作。承担保密、信 访、信息、绩效管理、政务公开、综合性文稿起草和史志 编纂工作。组织办理人大代表建议、政协委员提案。负责机关和所属事业单位党群工作。 </w:t>
      </w:r>
    </w:p>
    <w:p>
      <w:pPr>
        <w:numPr>
          <w:ilvl w:val="0"/>
          <w:numId w:val="1"/>
        </w:numPr>
        <w:ind w:firstLine="688" w:firstLineChars="200"/>
        <w:rPr>
          <w:rFonts w:ascii="Times New Roman" w:hAnsi="Times New Roman" w:eastAsia="仿宋_GB2312" w:cs="Times New Roman"/>
          <w:b w:val="0"/>
          <w:bCs w:val="0"/>
          <w:spacing w:val="12"/>
          <w:kern w:val="2"/>
          <w:sz w:val="32"/>
          <w:szCs w:val="24"/>
          <w:lang w:val="en-US" w:eastAsia="zh-CN" w:bidi="ar-SA"/>
        </w:rPr>
      </w:pPr>
      <w:r>
        <w:rPr>
          <w:rFonts w:ascii="Times New Roman" w:hAnsi="Times New Roman" w:eastAsia="仿宋_GB2312" w:cs="Times New Roman"/>
          <w:b w:val="0"/>
          <w:bCs w:val="0"/>
          <w:spacing w:val="12"/>
          <w:kern w:val="2"/>
          <w:sz w:val="32"/>
          <w:szCs w:val="24"/>
          <w:lang w:val="en-US" w:eastAsia="zh-CN" w:bidi="ar-SA"/>
        </w:rPr>
        <w:t xml:space="preserve">政务服务管理科（行政审批制度改革科）。负责 拟订政务服务政策、制度、办法和措施并组织实施。承担 全市政务服务体系建设相关工作，对进驻的政务服务事项 进行审核，对部门进驻人员进行监督和考核。牵头政务服 务目标考核相关工作。负责组织开展并联审批服务工作。 指导、监督相关电子政务服务平台建设和运行等工作。负 责政务服务信息化建设相关工作。对部门（单位）独立设 置的办事大厅进行业务指导和监督。受理并牵头组织办理 政务服务投诉。负责拟订深化行政审批制度改革的制度、 办法和措施并组织实施。指导、协调、监督并推进深化行 政审批制度改革工作, 对市级部门（单位）取消、保留或 调整的行政审批事项运行进行组织协调和监督，实施动态 管理。组织开展深化行政审批制度改革的调查研究、评估 分析。承担相对集中行政许可权改革相关工作。 </w:t>
      </w:r>
    </w:p>
    <w:p>
      <w:pPr>
        <w:ind w:firstLine="688" w:firstLineChars="200"/>
        <w:rPr>
          <w:rFonts w:ascii="Times New Roman" w:hAnsi="Times New Roman" w:eastAsia="仿宋_GB2312" w:cs="Times New Roman"/>
          <w:b w:val="0"/>
          <w:bCs w:val="0"/>
          <w:spacing w:val="12"/>
          <w:kern w:val="2"/>
          <w:sz w:val="32"/>
          <w:szCs w:val="24"/>
          <w:lang w:val="en-US" w:eastAsia="zh-CN" w:bidi="ar-SA"/>
        </w:rPr>
      </w:pPr>
      <w:r>
        <w:rPr>
          <w:rFonts w:ascii="Times New Roman" w:hAnsi="Times New Roman" w:eastAsia="仿宋_GB2312" w:cs="Times New Roman"/>
          <w:b w:val="0"/>
          <w:bCs w:val="0"/>
          <w:spacing w:val="12"/>
          <w:kern w:val="2"/>
          <w:sz w:val="32"/>
          <w:szCs w:val="24"/>
          <w:lang w:val="en-US" w:eastAsia="zh-CN" w:bidi="ar-SA"/>
        </w:rPr>
        <w:t>（三）公共资源交易管理科（监督检查科）。牵头组织 政务服务相关法律、法规、政策、措施执行情况的监督检 查工作。负责拟订公共资源交易管理服务的政策、制度、 办法和措施并组织实施。承担全市公共资源交易体系建设 相关工作。负责公共资源交易招投标活动的现场监督管理。 受理全市违反公共资源交易管理规定行为投诉并协调相关 部门按规定进行处理。</w:t>
      </w:r>
    </w:p>
    <w:p>
      <w:pPr>
        <w:pStyle w:val="3"/>
        <w:ind w:firstLine="640" w:firstLineChars="200"/>
        <w:rPr>
          <w:rFonts w:hint="eastAsia" w:ascii="黑体" w:hAnsi="黑体" w:eastAsia="黑体"/>
          <w:b w:val="0"/>
          <w:lang w:val="en-US" w:eastAsia="zh-CN"/>
        </w:rPr>
      </w:pPr>
      <w:bookmarkStart w:id="22" w:name="_Toc112832524"/>
      <w:r>
        <w:rPr>
          <w:rFonts w:hint="eastAsia" w:ascii="黑体" w:hAnsi="黑体" w:eastAsia="黑体"/>
          <w:b w:val="0"/>
          <w:lang w:val="en-US" w:eastAsia="zh-CN"/>
        </w:rPr>
        <w:t>三、2021年重点工作</w:t>
      </w:r>
      <w:bookmarkEnd w:id="19"/>
      <w:bookmarkEnd w:id="20"/>
      <w:r>
        <w:rPr>
          <w:rFonts w:hint="eastAsia" w:ascii="黑体" w:hAnsi="黑体" w:eastAsia="黑体"/>
          <w:b w:val="0"/>
          <w:lang w:val="en-US" w:eastAsia="zh-CN"/>
        </w:rPr>
        <w:t>完成情况</w:t>
      </w:r>
      <w:bookmarkEnd w:id="22"/>
    </w:p>
    <w:p>
      <w:pPr>
        <w:autoSpaceDE w:val="0"/>
        <w:autoSpaceDN w:val="0"/>
        <w:adjustRightInd w:val="0"/>
        <w:spacing w:line="540" w:lineRule="exact"/>
        <w:ind w:firstLine="691" w:firstLineChars="200"/>
        <w:rPr>
          <w:rFonts w:eastAsia="仿宋_GB2312"/>
          <w:spacing w:val="12"/>
          <w:sz w:val="32"/>
        </w:rPr>
      </w:pPr>
      <w:r>
        <w:rPr>
          <w:rFonts w:ascii="Times New Roman" w:hAnsi="Times New Roman" w:eastAsia="仿宋_GB2312" w:cs="Times New Roman"/>
          <w:b/>
          <w:bCs/>
          <w:spacing w:val="12"/>
          <w:kern w:val="2"/>
          <w:sz w:val="32"/>
          <w:szCs w:val="24"/>
          <w:lang w:val="en-US" w:eastAsia="zh-CN" w:bidi="ar-SA"/>
        </w:rPr>
        <w:t>1.纵深推进“放管服”改革。</w:t>
      </w:r>
      <w:r>
        <w:rPr>
          <w:rFonts w:eastAsia="仿宋_GB2312"/>
          <w:spacing w:val="12"/>
          <w:sz w:val="32"/>
        </w:rPr>
        <w:t>一是</w:t>
      </w:r>
      <w:r>
        <w:rPr>
          <w:rFonts w:eastAsia="仿宋_GB2312"/>
          <w:spacing w:val="12"/>
          <w:sz w:val="32"/>
        </w:rPr>
        <w:t>优化投资和工程项目审批。审批事项由原来的87项压减至65项。二是</w:t>
      </w:r>
      <w:r>
        <w:rPr>
          <w:rFonts w:eastAsia="仿宋_GB2312"/>
          <w:spacing w:val="12"/>
          <w:sz w:val="32"/>
        </w:rPr>
        <w:t>强力提升不动产登记效率和服务水平。三是</w:t>
      </w:r>
      <w:r>
        <w:rPr>
          <w:rFonts w:eastAsia="仿宋_GB2312"/>
          <w:spacing w:val="12"/>
          <w:sz w:val="32"/>
        </w:rPr>
        <w:t>深化商事制度改革。继续推进“证照分离”改革，将226项企业登记前置审批中的191项改为后置审批或直接取消</w:t>
      </w:r>
      <w:r>
        <w:rPr>
          <w:rFonts w:hint="eastAsia" w:eastAsia="仿宋_GB2312"/>
          <w:spacing w:val="12"/>
          <w:sz w:val="32"/>
        </w:rPr>
        <w:t>。</w:t>
      </w:r>
      <w:r>
        <w:rPr>
          <w:rFonts w:eastAsia="仿宋_GB2312"/>
          <w:spacing w:val="12"/>
          <w:sz w:val="32"/>
        </w:rPr>
        <w:t>四是</w:t>
      </w:r>
      <w:r>
        <w:rPr>
          <w:rFonts w:eastAsia="仿宋_GB2312"/>
          <w:spacing w:val="12"/>
          <w:sz w:val="32"/>
        </w:rPr>
        <w:t>全面推动政务服务向基层延伸。五是</w:t>
      </w:r>
      <w:r>
        <w:rPr>
          <w:rFonts w:eastAsia="仿宋_GB2312"/>
          <w:spacing w:val="12"/>
          <w:sz w:val="32"/>
        </w:rPr>
        <w:t>加强“两城”政务服务机构建设指导。</w:t>
      </w:r>
    </w:p>
    <w:p>
      <w:pPr>
        <w:autoSpaceDE w:val="0"/>
        <w:autoSpaceDN w:val="0"/>
        <w:adjustRightInd w:val="0"/>
        <w:spacing w:line="540" w:lineRule="exact"/>
        <w:ind w:firstLine="691"/>
        <w:rPr>
          <w:rFonts w:eastAsia="仿宋_GB2312"/>
          <w:spacing w:val="12"/>
          <w:sz w:val="32"/>
        </w:rPr>
      </w:pPr>
      <w:r>
        <w:rPr>
          <w:rFonts w:eastAsia="仿宋_GB2312"/>
          <w:b/>
          <w:bCs/>
          <w:spacing w:val="12"/>
          <w:sz w:val="32"/>
        </w:rPr>
        <w:t>2.深入推进“一网通办”前提下“最多跑一次”改革，推动实现政务服务“一网办”“一次办”。</w:t>
      </w:r>
      <w:r>
        <w:rPr>
          <w:rFonts w:eastAsia="仿宋_GB2312"/>
          <w:spacing w:val="12"/>
          <w:sz w:val="32"/>
        </w:rPr>
        <w:t>研究制定了《攀枝花市“一网通办”能力提升集中攻坚行动实施方案》，推动实现全市10627项政务服务事项办理全流程“最多跑一次”，占事项总数的99.97%，</w:t>
      </w:r>
      <w:r>
        <w:rPr>
          <w:rFonts w:eastAsia="仿宋_GB2312"/>
          <w:spacing w:val="12"/>
          <w:sz w:val="32"/>
        </w:rPr>
        <w:t>10624项政务服务事项实现网上可办，占事项总数的99.95%。</w:t>
      </w:r>
    </w:p>
    <w:p>
      <w:pPr>
        <w:autoSpaceDE w:val="0"/>
        <w:autoSpaceDN w:val="0"/>
        <w:adjustRightInd w:val="0"/>
        <w:spacing w:line="540" w:lineRule="exact"/>
        <w:ind w:firstLine="691"/>
        <w:rPr>
          <w:rFonts w:eastAsia="仿宋_GB2312"/>
          <w:b/>
          <w:bCs/>
          <w:spacing w:val="12"/>
          <w:sz w:val="32"/>
        </w:rPr>
      </w:pPr>
      <w:r>
        <w:rPr>
          <w:rFonts w:eastAsia="仿宋_GB2312"/>
          <w:b/>
          <w:bCs/>
          <w:spacing w:val="12"/>
          <w:sz w:val="32"/>
        </w:rPr>
        <w:t>3.强化政务大厅建设管理</w:t>
      </w:r>
    </w:p>
    <w:p>
      <w:pPr>
        <w:autoSpaceDE w:val="0"/>
        <w:autoSpaceDN w:val="0"/>
        <w:adjustRightInd w:val="0"/>
        <w:spacing w:line="540" w:lineRule="exact"/>
        <w:ind w:firstLine="688"/>
        <w:rPr>
          <w:rFonts w:eastAsia="仿宋_GB2312"/>
          <w:spacing w:val="12"/>
          <w:sz w:val="32"/>
        </w:rPr>
      </w:pPr>
      <w:r>
        <w:rPr>
          <w:rFonts w:eastAsia="仿宋_GB2312"/>
          <w:spacing w:val="12"/>
          <w:sz w:val="32"/>
        </w:rPr>
        <w:t>（1）完成市政务服务大厅新址搬迁工作。（2）设立市、县、乡三级“办不成事”窗口，解决堵点、难点问题104件。（3）分类实施跨域通办改革，推动实现政务服务“异地可办”。一是</w:t>
      </w:r>
      <w:r>
        <w:rPr>
          <w:rFonts w:eastAsia="仿宋_GB2312"/>
          <w:spacing w:val="12"/>
          <w:sz w:val="32"/>
        </w:rPr>
        <w:t>设立跨域通办综合服务窗口。全市共计229项实现“省内通办”，210项实现“川渝通办”，148项实现“跨省通办”，并纳入综合服务窗口。二是</w:t>
      </w:r>
      <w:r>
        <w:rPr>
          <w:rFonts w:eastAsia="仿宋_GB2312"/>
          <w:spacing w:val="12"/>
          <w:sz w:val="32"/>
        </w:rPr>
        <w:t>探索推行异地远程代收代办审批服务模式。（</w:t>
      </w:r>
      <w:r>
        <w:rPr>
          <w:rFonts w:hint="eastAsia" w:eastAsia="仿宋_GB2312"/>
          <w:spacing w:val="12"/>
          <w:sz w:val="32"/>
        </w:rPr>
        <w:t>4</w:t>
      </w:r>
      <w:r>
        <w:rPr>
          <w:rFonts w:eastAsia="仿宋_GB2312"/>
          <w:spacing w:val="12"/>
          <w:sz w:val="32"/>
        </w:rPr>
        <w:t>）持续创新优化审批服务方式。一是</w:t>
      </w:r>
      <w:r>
        <w:rPr>
          <w:rFonts w:eastAsia="仿宋_GB2312"/>
          <w:spacing w:val="12"/>
          <w:sz w:val="32"/>
        </w:rPr>
        <w:t>大力开展邮寄办。全年邮寄办件2000余件次。二是</w:t>
      </w:r>
      <w:r>
        <w:rPr>
          <w:rFonts w:eastAsia="仿宋_GB2312"/>
          <w:spacing w:val="12"/>
          <w:sz w:val="32"/>
        </w:rPr>
        <w:t>全面推行7×24小时自助政务服务。为企业群众提供全天候“不打烊”服务，自助办件2万余件次。三是</w:t>
      </w:r>
      <w:r>
        <w:rPr>
          <w:rFonts w:eastAsia="仿宋_GB2312"/>
          <w:spacing w:val="12"/>
          <w:sz w:val="32"/>
        </w:rPr>
        <w:t>健全完善帮办代办服务机制。全年提供帮代办7000余件次。四是</w:t>
      </w:r>
      <w:r>
        <w:rPr>
          <w:rFonts w:eastAsia="仿宋_GB2312"/>
          <w:spacing w:val="12"/>
          <w:sz w:val="32"/>
        </w:rPr>
        <w:t>针对特殊群体推出“预约上门”办。</w:t>
      </w:r>
      <w:r>
        <w:rPr>
          <w:rFonts w:hint="eastAsia" w:eastAsia="仿宋_GB2312"/>
          <w:spacing w:val="12"/>
          <w:sz w:val="32"/>
        </w:rPr>
        <w:t>2021年</w:t>
      </w:r>
      <w:r>
        <w:rPr>
          <w:rFonts w:eastAsia="仿宋_GB2312"/>
          <w:spacing w:val="12"/>
          <w:sz w:val="32"/>
        </w:rPr>
        <w:t>共派出80余名工作人员，为2157个家庭提供了上门服务。</w:t>
      </w:r>
    </w:p>
    <w:p>
      <w:pPr>
        <w:autoSpaceDE w:val="0"/>
        <w:autoSpaceDN w:val="0"/>
        <w:adjustRightInd w:val="0"/>
        <w:spacing w:line="540" w:lineRule="exact"/>
        <w:ind w:firstLine="691"/>
        <w:rPr>
          <w:rFonts w:eastAsia="仿宋_GB2312"/>
          <w:b/>
          <w:bCs/>
          <w:spacing w:val="12"/>
          <w:sz w:val="32"/>
        </w:rPr>
      </w:pPr>
      <w:r>
        <w:rPr>
          <w:rFonts w:eastAsia="仿宋_GB2312"/>
          <w:b/>
          <w:bCs/>
          <w:spacing w:val="12"/>
          <w:sz w:val="32"/>
        </w:rPr>
        <w:t>4.优化公共资源交易功能</w:t>
      </w:r>
    </w:p>
    <w:p>
      <w:pPr>
        <w:autoSpaceDE w:val="0"/>
        <w:autoSpaceDN w:val="0"/>
        <w:adjustRightInd w:val="0"/>
        <w:spacing w:line="540" w:lineRule="exact"/>
        <w:ind w:firstLine="688"/>
        <w:rPr>
          <w:rFonts w:eastAsia="仿宋_GB2312"/>
          <w:spacing w:val="12"/>
          <w:sz w:val="32"/>
        </w:rPr>
      </w:pPr>
      <w:r>
        <w:rPr>
          <w:rFonts w:eastAsia="仿宋_GB2312"/>
          <w:spacing w:val="12"/>
          <w:sz w:val="32"/>
        </w:rPr>
        <w:t>（1）优化实体交易场所功能布局。今年2月正式投入使用的8000余平方米公共资源交易场所，划分为若干功能区域，对敏感区域全部采用“物理隔离”方式实行“全封闭式”管理，全部使用脸谱识别和指纹识别相结合的门禁系统。</w:t>
      </w:r>
    </w:p>
    <w:p>
      <w:pPr>
        <w:autoSpaceDE w:val="0"/>
        <w:autoSpaceDN w:val="0"/>
        <w:adjustRightInd w:val="0"/>
        <w:spacing w:line="540" w:lineRule="exact"/>
        <w:ind w:firstLine="688"/>
        <w:rPr>
          <w:rFonts w:eastAsia="仿宋_GB2312"/>
          <w:spacing w:val="12"/>
          <w:sz w:val="32"/>
        </w:rPr>
      </w:pPr>
      <w:r>
        <w:rPr>
          <w:rFonts w:eastAsia="仿宋_GB2312"/>
          <w:spacing w:val="12"/>
          <w:sz w:val="32"/>
        </w:rPr>
        <w:t>（2）完善公共资源交易平台功能。一是</w:t>
      </w:r>
      <w:r>
        <w:rPr>
          <w:rFonts w:eastAsia="仿宋_GB2312"/>
          <w:spacing w:val="12"/>
          <w:sz w:val="32"/>
        </w:rPr>
        <w:t>将“不见面”开评标改革向工程项目招投标领域延伸，推动实现全流程电子化。今年以来，共实施工程项目“不见面”开评标34个，涉及金额1.73亿元。二是</w:t>
      </w:r>
      <w:r>
        <w:rPr>
          <w:rFonts w:eastAsia="仿宋_GB2312"/>
          <w:spacing w:val="12"/>
          <w:sz w:val="32"/>
        </w:rPr>
        <w:t>紧扣“三个圈层”发展战略，分别与5个县（区）、2个市州、8个省内外城市达成异地远程评标合作协议，实现多地评审专家资源互通共享。今年以来，共开展远程异地评标项目38个，其中主场项目19个，涉及金额0.59亿元。三是</w:t>
      </w:r>
      <w:r>
        <w:rPr>
          <w:rFonts w:eastAsia="仿宋_GB2312"/>
          <w:spacing w:val="12"/>
          <w:sz w:val="32"/>
        </w:rPr>
        <w:t>全面开通网上公共资源交易平台远程投标、保证金缴退等服务功能，开放保证金保函保险业务。今年以来，共受理交易项目 466 个，成交 399 个，涉及金额 39.87亿元，为市财政节资增收1.57亿元；收到保证金1684笔，其中采用保函方式缴纳保证金1000笔，占比达59.38%。</w:t>
      </w:r>
    </w:p>
    <w:p>
      <w:pPr>
        <w:autoSpaceDE w:val="0"/>
        <w:autoSpaceDN w:val="0"/>
        <w:adjustRightInd w:val="0"/>
        <w:spacing w:line="540" w:lineRule="exact"/>
        <w:ind w:firstLine="688"/>
        <w:rPr>
          <w:rFonts w:eastAsia="仿宋_GB2312"/>
          <w:spacing w:val="12"/>
          <w:sz w:val="32"/>
        </w:rPr>
      </w:pPr>
      <w:r>
        <w:rPr>
          <w:rFonts w:eastAsia="仿宋_GB2312"/>
          <w:spacing w:val="12"/>
          <w:sz w:val="32"/>
        </w:rPr>
        <w:t>（3）加大廉政风险防范力度。一是</w:t>
      </w:r>
      <w:r>
        <w:rPr>
          <w:rFonts w:eastAsia="仿宋_GB2312"/>
          <w:spacing w:val="12"/>
          <w:sz w:val="32"/>
        </w:rPr>
        <w:t>对实体交易场所电子监控系统全面升级改造，实现360°无死角同步音频视频监控。二是</w:t>
      </w:r>
      <w:r>
        <w:rPr>
          <w:rFonts w:eastAsia="仿宋_GB2312"/>
          <w:spacing w:val="12"/>
          <w:sz w:val="32"/>
        </w:rPr>
        <w:t>建立廉政风险排查和防控“两张”清单，设定26个廉政风险点风险等级并制定防控措施。三是</w:t>
      </w:r>
      <w:r>
        <w:rPr>
          <w:rFonts w:eastAsia="仿宋_GB2312"/>
          <w:spacing w:val="12"/>
          <w:sz w:val="32"/>
        </w:rPr>
        <w:t>紧盯重点环节和关键岗位，采取“电子监督+现场巡查”相结合的方式，实施全程监督。四是</w:t>
      </w:r>
      <w:r>
        <w:rPr>
          <w:rFonts w:eastAsia="仿宋_GB2312"/>
          <w:spacing w:val="12"/>
          <w:sz w:val="32"/>
        </w:rPr>
        <w:t>深入开展工程招投标和政府采购领域突出问题系统治理专项行动。五是</w:t>
      </w:r>
      <w:r>
        <w:rPr>
          <w:rFonts w:eastAsia="仿宋_GB2312"/>
          <w:spacing w:val="12"/>
          <w:sz w:val="32"/>
        </w:rPr>
        <w:t>定制变声询价采购系统，推动实现询价采购全过程竞标方和评标专家不见面。</w:t>
      </w:r>
    </w:p>
    <w:p/>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center"/>
        <w:rPr>
          <w:rStyle w:val="24"/>
          <w:rFonts w:ascii="黑体" w:hAnsi="黑体" w:eastAsia="黑体"/>
          <w:b w:val="0"/>
          <w:bCs/>
        </w:rPr>
      </w:pPr>
      <w:bookmarkStart w:id="23" w:name="_Toc112832525"/>
      <w:bookmarkStart w:id="24" w:name="_Toc15377204"/>
      <w:bookmarkStart w:id="25" w:name="_Toc15396602"/>
      <w:r>
        <w:rPr>
          <w:rFonts w:hint="eastAsia" w:ascii="黑体" w:hAnsi="黑体" w:eastAsia="黑体"/>
          <w:b w:val="0"/>
        </w:rPr>
        <w:t>第二部分 2021年度</w:t>
      </w:r>
      <w:r>
        <w:rPr>
          <w:rStyle w:val="24"/>
          <w:rFonts w:hint="eastAsia" w:ascii="黑体" w:hAnsi="黑体" w:eastAsia="黑体"/>
          <w:b w:val="0"/>
          <w:bCs/>
        </w:rPr>
        <w:t>单位决算情况说明</w:t>
      </w:r>
      <w:bookmarkEnd w:id="23"/>
      <w:bookmarkEnd w:id="24"/>
      <w:bookmarkEnd w:id="25"/>
    </w:p>
    <w:p/>
    <w:p>
      <w:pPr>
        <w:pStyle w:val="23"/>
        <w:numPr>
          <w:ilvl w:val="0"/>
          <w:numId w:val="2"/>
        </w:numPr>
        <w:spacing w:line="600" w:lineRule="exact"/>
        <w:ind w:firstLineChars="0"/>
        <w:outlineLvl w:val="1"/>
        <w:rPr>
          <w:rStyle w:val="25"/>
          <w:rFonts w:ascii="黑体" w:hAnsi="黑体" w:eastAsia="黑体"/>
          <w:b w:val="0"/>
        </w:rPr>
      </w:pPr>
      <w:bookmarkStart w:id="26" w:name="_Toc15396603"/>
      <w:bookmarkStart w:id="27" w:name="_Toc15377205"/>
      <w:bookmarkStart w:id="28" w:name="_Toc112832526"/>
      <w:r>
        <w:rPr>
          <w:rFonts w:hint="eastAsia" w:ascii="黑体" w:hAnsi="黑体" w:eastAsia="黑体"/>
          <w:sz w:val="32"/>
          <w:szCs w:val="32"/>
        </w:rPr>
        <w:t>收</w:t>
      </w:r>
      <w:r>
        <w:rPr>
          <w:rStyle w:val="25"/>
          <w:rFonts w:hint="eastAsia" w:ascii="黑体" w:hAnsi="黑体" w:eastAsia="黑体"/>
          <w:b w:val="0"/>
        </w:rPr>
        <w:t>入支出决算总体情况说明</w:t>
      </w:r>
      <w:bookmarkEnd w:id="26"/>
      <w:bookmarkEnd w:id="27"/>
      <w:bookmarkEnd w:id="28"/>
    </w:p>
    <w:p>
      <w:pPr>
        <w:spacing w:line="600" w:lineRule="exact"/>
        <w:ind w:firstLine="640"/>
        <w:rPr>
          <w:rFonts w:ascii="仿宋" w:hAnsi="仿宋" w:eastAsia="仿宋"/>
          <w:color w:val="000000"/>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749935</wp:posOffset>
            </wp:positionH>
            <wp:positionV relativeFrom="paragraph">
              <wp:posOffset>1523365</wp:posOffset>
            </wp:positionV>
            <wp:extent cx="3922395" cy="3035935"/>
            <wp:effectExtent l="0" t="0" r="9525" b="1206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srcRect/>
                    <a:stretch>
                      <a:fillRect/>
                    </a:stretch>
                  </pic:blipFill>
                  <pic:spPr>
                    <a:xfrm>
                      <a:off x="0" y="0"/>
                      <a:ext cx="3922395" cy="3035935"/>
                    </a:xfrm>
                    <a:prstGeom prst="rect">
                      <a:avLst/>
                    </a:prstGeom>
                    <a:noFill/>
                    <a:ln w="9525">
                      <a:noFill/>
                      <a:miter lim="800000"/>
                      <a:headEnd/>
                      <a:tailEnd/>
                    </a:ln>
                  </pic:spPr>
                </pic:pic>
              </a:graphicData>
            </a:graphic>
          </wp:anchor>
        </w:drawing>
      </w:r>
      <w:r>
        <w:rPr>
          <w:rFonts w:hint="eastAsia" w:ascii="仿宋" w:hAnsi="仿宋" w:eastAsia="仿宋"/>
          <w:sz w:val="32"/>
          <w:szCs w:val="32"/>
        </w:rPr>
        <w:t>2021年度收、支总计1595.64万元。与2020年相比，收、支总计各减少487.37万元，下降23.4</w:t>
      </w:r>
      <w:r>
        <w:rPr>
          <w:rFonts w:ascii="仿宋" w:hAnsi="仿宋" w:eastAsia="仿宋"/>
          <w:sz w:val="32"/>
          <w:szCs w:val="32"/>
        </w:rPr>
        <w:t>%</w:t>
      </w:r>
      <w:r>
        <w:rPr>
          <w:rFonts w:hint="eastAsia" w:ascii="仿宋" w:hAnsi="仿宋" w:eastAsia="仿宋"/>
          <w:sz w:val="32"/>
          <w:szCs w:val="32"/>
        </w:rPr>
        <w:t>。主要变动原因是减少了2020的</w:t>
      </w:r>
      <w:r>
        <w:rPr>
          <w:rFonts w:hint="eastAsia" w:ascii="仿宋" w:hAnsi="仿宋" w:eastAsia="仿宋"/>
          <w:color w:val="000000"/>
          <w:sz w:val="32"/>
          <w:szCs w:val="32"/>
        </w:rPr>
        <w:t>工程建设改革项目的系统建设及运行维护资金。</w:t>
      </w:r>
    </w:p>
    <w:p>
      <w:pPr>
        <w:spacing w:line="600" w:lineRule="exact"/>
        <w:ind w:firstLine="640" w:firstLineChars="200"/>
        <w:rPr>
          <w:rFonts w:ascii="仿宋" w:hAnsi="仿宋" w:eastAsia="仿宋"/>
          <w:sz w:val="32"/>
          <w:szCs w:val="32"/>
        </w:rPr>
      </w:pPr>
    </w:p>
    <w:p>
      <w:pPr>
        <w:spacing w:line="600" w:lineRule="exact"/>
        <w:ind w:firstLine="640" w:firstLineChars="200"/>
        <w:jc w:val="left"/>
        <w:rPr>
          <w:rFonts w:ascii="仿宋_GB2312" w:eastAsia="仿宋_GB2312"/>
          <w:sz w:val="32"/>
          <w:szCs w:val="32"/>
        </w:rPr>
      </w:pPr>
    </w:p>
    <w:p>
      <w:pPr>
        <w:pStyle w:val="5"/>
        <w:spacing w:before="93"/>
      </w:pPr>
    </w:p>
    <w:p>
      <w:pPr>
        <w:pStyle w:val="5"/>
        <w:spacing w:before="93"/>
      </w:pPr>
    </w:p>
    <w:p>
      <w:pPr>
        <w:pStyle w:val="5"/>
        <w:spacing w:before="93"/>
      </w:pPr>
    </w:p>
    <w:p>
      <w:pPr>
        <w:pStyle w:val="5"/>
        <w:spacing w:before="93"/>
      </w:pPr>
    </w:p>
    <w:p>
      <w:pPr>
        <w:pStyle w:val="5"/>
        <w:spacing w:before="93"/>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：收、支决算总计变动情况图，单位：万元）</w:t>
      </w:r>
    </w:p>
    <w:p>
      <w:pPr>
        <w:spacing w:line="600" w:lineRule="exact"/>
        <w:ind w:left="640"/>
        <w:outlineLvl w:val="1"/>
        <w:rPr>
          <w:rFonts w:ascii="黑体" w:hAnsi="黑体" w:eastAsia="黑体" w:cstheme="majorBidi"/>
          <w:bCs/>
          <w:sz w:val="32"/>
          <w:szCs w:val="32"/>
        </w:rPr>
      </w:pPr>
      <w:bookmarkStart w:id="29" w:name="_Toc112832528"/>
      <w:r>
        <w:rPr>
          <w:rStyle w:val="25"/>
          <w:rFonts w:hint="eastAsia" w:ascii="黑体" w:hAnsi="黑体" w:eastAsia="黑体"/>
        </w:rPr>
        <w:t>二、收</w:t>
      </w:r>
      <w:r>
        <w:rPr>
          <w:rStyle w:val="25"/>
          <w:rFonts w:hint="eastAsia" w:ascii="黑体" w:hAnsi="黑体" w:eastAsia="黑体"/>
          <w:b w:val="0"/>
        </w:rPr>
        <w:t>入决算情况说明</w:t>
      </w:r>
      <w:bookmarkEnd w:id="29"/>
    </w:p>
    <w:p>
      <w:pPr>
        <w:spacing w:line="600" w:lineRule="exact"/>
        <w:ind w:firstLine="640" w:firstLineChars="200"/>
        <w:outlineLvl w:val="1"/>
        <w:rPr>
          <w:rFonts w:ascii="仿宋" w:hAnsi="仿宋" w:eastAsia="仿宋"/>
          <w:sz w:val="32"/>
          <w:szCs w:val="32"/>
        </w:rPr>
      </w:pPr>
      <w:bookmarkStart w:id="30" w:name="_Toc112832529"/>
      <w:r>
        <w:rPr>
          <w:rFonts w:ascii="仿宋" w:hAnsi="仿宋" w:eastAsia="仿宋"/>
          <w:sz w:val="32"/>
          <w:szCs w:val="32"/>
        </w:rPr>
        <w:t>20</w:t>
      </w:r>
      <w:r>
        <w:rPr>
          <w:rFonts w:hint="eastAsia" w:ascii="仿宋" w:hAnsi="仿宋" w:eastAsia="仿宋"/>
          <w:sz w:val="32"/>
          <w:szCs w:val="32"/>
        </w:rPr>
        <w:t>21年本年收入合计1077.14万元，其中：一般公共预算财政拨款收入1077.11万元，占99.99</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；其他收入0.03万元，占0.01</w:t>
      </w:r>
      <w:r>
        <w:rPr>
          <w:rFonts w:ascii="仿宋" w:hAnsi="仿宋" w:eastAsia="仿宋"/>
          <w:sz w:val="32"/>
          <w:szCs w:val="32"/>
        </w:rPr>
        <w:t>%</w:t>
      </w:r>
      <w:r>
        <w:rPr>
          <w:rFonts w:hint="eastAsia" w:ascii="仿宋" w:hAnsi="仿宋" w:eastAsia="仿宋"/>
          <w:sz w:val="32"/>
          <w:szCs w:val="32"/>
        </w:rPr>
        <w:t>。</w:t>
      </w:r>
      <w:bookmarkEnd w:id="30"/>
    </w:p>
    <w:p>
      <w:pPr>
        <w:pStyle w:val="5"/>
        <w:spacing w:before="93"/>
        <w:ind w:firstLine="1050" w:firstLineChars="350"/>
      </w:pPr>
      <w:r>
        <w:drawing>
          <wp:inline distT="0" distB="0" distL="0" distR="0">
            <wp:extent cx="3983355" cy="2742565"/>
            <wp:effectExtent l="0" t="0" r="952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srcRect/>
                    <a:stretch>
                      <a:fillRect/>
                    </a:stretch>
                  </pic:blipFill>
                  <pic:spPr>
                    <a:xfrm>
                      <a:off x="0" y="0"/>
                      <a:ext cx="3983355" cy="2742565"/>
                    </a:xfrm>
                    <a:prstGeom prst="rect">
                      <a:avLst/>
                    </a:prstGeom>
                    <a:noFill/>
                    <a:ln w="9525">
                      <a:noFill/>
                      <a:miter lim="800000"/>
                      <a:headEnd/>
                      <a:tailEnd/>
                    </a:ln>
                  </pic:spPr>
                </pic:pic>
              </a:graphicData>
            </a:graphic>
          </wp:inline>
        </w:drawing>
      </w:r>
    </w:p>
    <w:p>
      <w:pPr>
        <w:spacing w:line="600" w:lineRule="exact"/>
        <w:ind w:firstLine="1760" w:firstLineChars="550"/>
        <w:rPr>
          <w:rFonts w:ascii="仿宋" w:hAnsi="仿宋" w:eastAsia="仿宋"/>
          <w:sz w:val="32"/>
          <w:szCs w:val="32"/>
        </w:rPr>
      </w:pPr>
      <w:r>
        <w:rPr>
          <w:rFonts w:hint="eastAsia" w:ascii="仿宋" w:hAnsi="仿宋" w:eastAsia="仿宋"/>
          <w:sz w:val="32"/>
          <w:szCs w:val="32"/>
        </w:rPr>
        <w:t>（图2：收入决算结构图）</w:t>
      </w:r>
    </w:p>
    <w:p>
      <w:pPr>
        <w:pStyle w:val="23"/>
        <w:numPr>
          <w:ilvl w:val="0"/>
          <w:numId w:val="0"/>
        </w:numPr>
        <w:spacing w:line="600" w:lineRule="exact"/>
        <w:ind w:left="640" w:leftChars="0"/>
        <w:outlineLvl w:val="1"/>
        <w:rPr>
          <w:rStyle w:val="25"/>
          <w:rFonts w:ascii="黑体" w:hAnsi="黑体" w:eastAsia="黑体"/>
          <w:b w:val="0"/>
        </w:rPr>
      </w:pPr>
      <w:bookmarkStart w:id="31" w:name="_Toc15377207"/>
      <w:bookmarkStart w:id="32" w:name="_Toc112832531"/>
      <w:bookmarkStart w:id="33" w:name="_Toc15396605"/>
      <w:r>
        <w:rPr>
          <w:rFonts w:hint="eastAsia" w:ascii="黑体" w:hAnsi="黑体" w:eastAsia="黑体"/>
          <w:sz w:val="32"/>
          <w:szCs w:val="32"/>
          <w:lang w:val="en-US" w:eastAsia="zh-CN"/>
        </w:rPr>
        <w:t>三、</w:t>
      </w:r>
      <w:r>
        <w:rPr>
          <w:rFonts w:hint="eastAsia" w:ascii="黑体" w:hAnsi="黑体" w:eastAsia="黑体"/>
          <w:sz w:val="32"/>
          <w:szCs w:val="32"/>
        </w:rPr>
        <w:t>支</w:t>
      </w:r>
      <w:r>
        <w:rPr>
          <w:rStyle w:val="25"/>
          <w:rFonts w:hint="eastAsia" w:ascii="黑体" w:hAnsi="黑体" w:eastAsia="黑体"/>
          <w:b w:val="0"/>
        </w:rPr>
        <w:t>出决算情况说明</w:t>
      </w:r>
      <w:bookmarkEnd w:id="31"/>
      <w:bookmarkEnd w:id="32"/>
      <w:bookmarkEnd w:id="33"/>
    </w:p>
    <w:p>
      <w:pPr>
        <w:spacing w:line="600" w:lineRule="exact"/>
        <w:ind w:firstLine="640" w:firstLineChars="200"/>
        <w:outlineLvl w:val="1"/>
        <w:rPr>
          <w:rFonts w:ascii="仿宋" w:hAnsi="仿宋" w:eastAsia="仿宋"/>
          <w:sz w:val="32"/>
          <w:szCs w:val="32"/>
        </w:rPr>
      </w:pPr>
      <w:bookmarkStart w:id="34" w:name="_Toc112832532"/>
      <w:r>
        <w:rPr>
          <w:rFonts w:ascii="仿宋" w:hAnsi="仿宋" w:eastAsia="仿宋"/>
          <w:sz w:val="32"/>
          <w:szCs w:val="32"/>
        </w:rPr>
        <w:t>20</w:t>
      </w:r>
      <w:r>
        <w:rPr>
          <w:rFonts w:hint="eastAsia" w:ascii="仿宋" w:hAnsi="仿宋" w:eastAsia="仿宋"/>
          <w:sz w:val="32"/>
          <w:szCs w:val="32"/>
        </w:rPr>
        <w:t>21年本年支出合计1586.61万元，其中：基本支出</w:t>
      </w:r>
      <w:r>
        <w:rPr>
          <w:rFonts w:ascii="仿宋" w:hAnsi="仿宋" w:eastAsia="仿宋"/>
          <w:sz w:val="32"/>
          <w:szCs w:val="32"/>
        </w:rPr>
        <w:t>419.94</w:t>
      </w:r>
      <w:r>
        <w:rPr>
          <w:rFonts w:hint="eastAsia" w:ascii="仿宋" w:hAnsi="仿宋" w:eastAsia="仿宋"/>
          <w:sz w:val="32"/>
          <w:szCs w:val="32"/>
        </w:rPr>
        <w:t>万元，占26.47</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sz w:val="32"/>
          <w:szCs w:val="32"/>
        </w:rPr>
        <w:t>1166.67</w:t>
      </w:r>
      <w:r>
        <w:rPr>
          <w:rFonts w:hint="eastAsia" w:ascii="仿宋" w:hAnsi="仿宋" w:eastAsia="仿宋"/>
          <w:sz w:val="32"/>
          <w:szCs w:val="32"/>
        </w:rPr>
        <w:t>万元，占73.53</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4"/>
    </w:p>
    <w:p>
      <w:pPr>
        <w:pStyle w:val="5"/>
        <w:spacing w:before="93"/>
        <w:ind w:firstLine="1050" w:firstLineChars="350"/>
      </w:pPr>
      <w:r>
        <w:rPr>
          <w:rFonts w:hint="eastAsia"/>
        </w:rPr>
        <w:drawing>
          <wp:inline distT="0" distB="0" distL="0" distR="0">
            <wp:extent cx="3649345" cy="2518410"/>
            <wp:effectExtent l="0" t="0" r="8255" b="1143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8"/>
                    <a:srcRect/>
                    <a:stretch>
                      <a:fillRect/>
                    </a:stretch>
                  </pic:blipFill>
                  <pic:spPr>
                    <a:xfrm>
                      <a:off x="0" y="0"/>
                      <a:ext cx="3649345" cy="2518410"/>
                    </a:xfrm>
                    <a:prstGeom prst="rect">
                      <a:avLst/>
                    </a:prstGeom>
                    <a:noFill/>
                    <a:ln w="9525">
                      <a:noFill/>
                      <a:miter lim="800000"/>
                      <a:headEnd/>
                      <a:tailEnd/>
                    </a:ln>
                  </pic:spPr>
                </pic:pic>
              </a:graphicData>
            </a:graphic>
          </wp:inline>
        </w:drawing>
      </w:r>
    </w:p>
    <w:p>
      <w:pPr>
        <w:spacing w:line="600" w:lineRule="exact"/>
        <w:ind w:firstLine="1600" w:firstLineChars="500"/>
        <w:rPr>
          <w:rFonts w:ascii="仿宋" w:hAnsi="仿宋" w:eastAsia="仿宋"/>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5"/>
          <w:rFonts w:ascii="黑体" w:hAnsi="黑体" w:eastAsia="黑体"/>
          <w:b w:val="0"/>
        </w:rPr>
      </w:pPr>
      <w:bookmarkStart w:id="35" w:name="_Toc15377208"/>
      <w:bookmarkStart w:id="36" w:name="_Toc15396606"/>
      <w:bookmarkStart w:id="37" w:name="_Toc112832534"/>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5"/>
      <w:bookmarkEnd w:id="36"/>
      <w:bookmarkEnd w:id="37"/>
    </w:p>
    <w:p>
      <w:pPr>
        <w:spacing w:line="600" w:lineRule="exact"/>
        <w:ind w:firstLine="640"/>
        <w:rPr>
          <w:rFonts w:ascii="仿宋" w:hAnsi="仿宋" w:eastAsia="仿宋"/>
          <w:color w:val="000000"/>
          <w:sz w:val="32"/>
          <w:szCs w:val="32"/>
        </w:rPr>
      </w:pPr>
      <w:r>
        <w:rPr>
          <w:rFonts w:ascii="仿宋" w:hAnsi="仿宋" w:eastAsia="仿宋"/>
          <w:sz w:val="32"/>
          <w:szCs w:val="32"/>
        </w:rPr>
        <w:t>20</w:t>
      </w:r>
      <w:r>
        <w:rPr>
          <w:rFonts w:hint="eastAsia" w:ascii="仿宋" w:hAnsi="仿宋" w:eastAsia="仿宋"/>
          <w:sz w:val="32"/>
          <w:szCs w:val="32"/>
        </w:rPr>
        <w:t>21年财政拨款收、支总计1595.64万元。与</w:t>
      </w:r>
      <w:r>
        <w:rPr>
          <w:rFonts w:ascii="仿宋" w:hAnsi="仿宋" w:eastAsia="仿宋"/>
          <w:sz w:val="32"/>
          <w:szCs w:val="32"/>
        </w:rPr>
        <w:t>20</w:t>
      </w:r>
      <w:r>
        <w:rPr>
          <w:rFonts w:hint="eastAsia" w:ascii="仿宋" w:hAnsi="仿宋" w:eastAsia="仿宋"/>
          <w:sz w:val="32"/>
          <w:szCs w:val="32"/>
        </w:rPr>
        <w:t>20年相比，财政拨款收、支总计各减少487.37万元，下降23.4</w:t>
      </w:r>
      <w:r>
        <w:rPr>
          <w:rFonts w:ascii="仿宋" w:hAnsi="仿宋" w:eastAsia="仿宋"/>
          <w:sz w:val="32"/>
          <w:szCs w:val="32"/>
        </w:rPr>
        <w:t>%</w:t>
      </w:r>
      <w:r>
        <w:rPr>
          <w:rFonts w:hint="eastAsia" w:ascii="仿宋" w:hAnsi="仿宋" w:eastAsia="仿宋"/>
          <w:sz w:val="32"/>
          <w:szCs w:val="32"/>
        </w:rPr>
        <w:t>。主要变动原因是减少了2020的</w:t>
      </w:r>
      <w:r>
        <w:rPr>
          <w:rFonts w:hint="eastAsia" w:ascii="仿宋" w:hAnsi="仿宋" w:eastAsia="仿宋"/>
          <w:color w:val="000000"/>
          <w:sz w:val="32"/>
          <w:szCs w:val="32"/>
        </w:rPr>
        <w:t>工程建设改革项目的系统建设及运行维护资金。</w:t>
      </w:r>
    </w:p>
    <w:p>
      <w:pPr>
        <w:pStyle w:val="5"/>
        <w:spacing w:before="93"/>
      </w:pPr>
      <w:r>
        <w:drawing>
          <wp:anchor distT="0" distB="0" distL="114300" distR="114300" simplePos="0" relativeHeight="251660288" behindDoc="0" locked="0" layoutInCell="1" allowOverlap="1">
            <wp:simplePos x="0" y="0"/>
            <wp:positionH relativeFrom="column">
              <wp:posOffset>782955</wp:posOffset>
            </wp:positionH>
            <wp:positionV relativeFrom="paragraph">
              <wp:posOffset>243840</wp:posOffset>
            </wp:positionV>
            <wp:extent cx="3688715" cy="2854325"/>
            <wp:effectExtent l="19050" t="0" r="7258"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6"/>
                    <a:srcRect/>
                    <a:stretch>
                      <a:fillRect/>
                    </a:stretch>
                  </pic:blipFill>
                  <pic:spPr>
                    <a:xfrm>
                      <a:off x="0" y="0"/>
                      <a:ext cx="3688442" cy="2854234"/>
                    </a:xfrm>
                    <a:prstGeom prst="rect">
                      <a:avLst/>
                    </a:prstGeom>
                    <a:noFill/>
                    <a:ln w="9525">
                      <a:noFill/>
                      <a:miter lim="800000"/>
                      <a:headEnd/>
                      <a:tailEnd/>
                    </a:ln>
                  </pic:spPr>
                </pic:pic>
              </a:graphicData>
            </a:graphic>
          </wp:anchor>
        </w:drawing>
      </w:r>
    </w:p>
    <w:p>
      <w:pPr>
        <w:pStyle w:val="5"/>
        <w:spacing w:before="93"/>
      </w:pPr>
    </w:p>
    <w:p>
      <w:pPr>
        <w:pStyle w:val="5"/>
        <w:spacing w:before="93"/>
      </w:pPr>
    </w:p>
    <w:p>
      <w:pPr>
        <w:pStyle w:val="5"/>
        <w:spacing w:before="93"/>
      </w:pPr>
    </w:p>
    <w:p>
      <w:pPr>
        <w:spacing w:line="600" w:lineRule="exact"/>
        <w:rPr>
          <w:rFonts w:ascii="仿宋_GB2312" w:eastAsia="仿宋_GB2312"/>
          <w:kern w:val="0"/>
          <w:sz w:val="30"/>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5"/>
          <w:rFonts w:ascii="黑体" w:hAnsi="黑体" w:eastAsia="黑体"/>
          <w:b w:val="0"/>
        </w:rPr>
      </w:pPr>
      <w:bookmarkStart w:id="38" w:name="_Toc112832535"/>
      <w:bookmarkStart w:id="39" w:name="_Toc15377209"/>
      <w:bookmarkStart w:id="40"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8"/>
      <w:bookmarkEnd w:id="39"/>
      <w:bookmarkEnd w:id="40"/>
    </w:p>
    <w:p>
      <w:pPr>
        <w:spacing w:line="600" w:lineRule="exact"/>
        <w:ind w:firstLine="643" w:firstLineChars="200"/>
        <w:outlineLvl w:val="2"/>
        <w:rPr>
          <w:rFonts w:ascii="仿宋" w:hAnsi="仿宋" w:eastAsia="仿宋"/>
          <w:b/>
          <w:sz w:val="32"/>
          <w:szCs w:val="32"/>
        </w:rPr>
      </w:pPr>
      <w:bookmarkStart w:id="41" w:name="_Toc112832536"/>
      <w:bookmarkStart w:id="42" w:name="_Toc15377210"/>
      <w:r>
        <w:rPr>
          <w:rFonts w:hint="eastAsia" w:ascii="仿宋" w:hAnsi="仿宋" w:eastAsia="仿宋"/>
          <w:b/>
          <w:sz w:val="32"/>
          <w:szCs w:val="32"/>
        </w:rPr>
        <w:t>（一）一般公共预算财政拨款支出决算总体情况</w:t>
      </w:r>
      <w:bookmarkEnd w:id="41"/>
      <w:bookmarkEnd w:id="42"/>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ascii="仿宋" w:hAnsi="仿宋" w:eastAsia="仿宋"/>
          <w:sz w:val="32"/>
          <w:szCs w:val="32"/>
        </w:rPr>
        <w:t>1586.61</w:t>
      </w:r>
      <w:r>
        <w:rPr>
          <w:rFonts w:hint="eastAsia" w:ascii="仿宋" w:hAnsi="仿宋" w:eastAsia="仿宋"/>
          <w:sz w:val="32"/>
          <w:szCs w:val="32"/>
        </w:rPr>
        <w:t>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20年相比，一般公共预算财政拨款支出增加395.87万元，增长33.25</w:t>
      </w:r>
      <w:r>
        <w:rPr>
          <w:rFonts w:ascii="仿宋" w:hAnsi="仿宋" w:eastAsia="仿宋"/>
          <w:sz w:val="32"/>
          <w:szCs w:val="32"/>
        </w:rPr>
        <w:t>%</w:t>
      </w:r>
      <w:r>
        <w:rPr>
          <w:rFonts w:hint="eastAsia" w:ascii="仿宋" w:hAnsi="仿宋" w:eastAsia="仿宋"/>
          <w:sz w:val="32"/>
          <w:szCs w:val="32"/>
        </w:rPr>
        <w:t>。主要变动原因是2021年政务中心新址搬迁政府采购项目增加。</w:t>
      </w:r>
    </w:p>
    <w:p>
      <w:pPr>
        <w:pStyle w:val="5"/>
        <w:spacing w:before="93"/>
      </w:pPr>
      <w:r>
        <w:rPr>
          <w:rFonts w:hint="eastAsia" w:ascii="仿宋" w:hAnsi="仿宋" w:eastAsia="仿宋"/>
          <w:sz w:val="32"/>
          <w:szCs w:val="32"/>
        </w:rPr>
        <w:drawing>
          <wp:inline distT="0" distB="0" distL="0" distR="0">
            <wp:extent cx="5165090" cy="4086225"/>
            <wp:effectExtent l="19050" t="0" r="0" b="0"/>
            <wp:docPr id="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5"/>
                    <pic:cNvPicPr>
                      <a:picLocks noChangeAspect="1" noChangeArrowheads="1"/>
                    </pic:cNvPicPr>
                  </pic:nvPicPr>
                  <pic:blipFill>
                    <a:blip r:embed="rId9"/>
                    <a:srcRect/>
                    <a:stretch>
                      <a:fillRect/>
                    </a:stretch>
                  </pic:blipFill>
                  <pic:spPr>
                    <a:xfrm>
                      <a:off x="0" y="0"/>
                      <a:ext cx="5165090" cy="408622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43" w:name="_Toc112832537"/>
      <w:bookmarkStart w:id="44" w:name="_Toc15377211"/>
      <w:r>
        <w:rPr>
          <w:rFonts w:hint="eastAsia" w:ascii="仿宋" w:hAnsi="仿宋" w:eastAsia="仿宋"/>
          <w:b/>
          <w:sz w:val="32"/>
          <w:szCs w:val="32"/>
        </w:rPr>
        <w:t>（二）一般公共预算财政拨款支出决算结构情况</w:t>
      </w:r>
      <w:bookmarkEnd w:id="43"/>
      <w:bookmarkEnd w:id="44"/>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ascii="仿宋" w:hAnsi="仿宋" w:eastAsia="仿宋"/>
          <w:sz w:val="32"/>
          <w:szCs w:val="32"/>
        </w:rPr>
        <w:t>1586.61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sz w:val="32"/>
          <w:szCs w:val="32"/>
        </w:rPr>
        <w:t>一般公共服务（类）</w:t>
      </w:r>
      <w:r>
        <w:rPr>
          <w:rFonts w:hint="eastAsia" w:ascii="仿宋" w:hAnsi="仿宋" w:eastAsia="仿宋"/>
          <w:sz w:val="32"/>
          <w:szCs w:val="32"/>
        </w:rPr>
        <w:t>支出1510.76</w:t>
      </w:r>
      <w:r>
        <w:rPr>
          <w:rFonts w:hint="eastAsia" w:ascii="仿宋" w:hAnsi="仿宋" w:eastAsia="仿宋"/>
          <w:sz w:val="32"/>
          <w:szCs w:val="32"/>
        </w:rPr>
        <w:t>万元，占95.22%</w:t>
      </w:r>
      <w:r>
        <w:rPr>
          <w:rFonts w:hint="eastAsia" w:ascii="仿宋" w:hAnsi="仿宋" w:eastAsia="仿宋"/>
          <w:sz w:val="32"/>
          <w:szCs w:val="32"/>
        </w:rPr>
        <w:t>；教育支出（类）</w:t>
      </w:r>
      <w:r>
        <w:rPr>
          <w:rFonts w:hint="eastAsia" w:ascii="仿宋" w:hAnsi="仿宋" w:eastAsia="仿宋"/>
          <w:sz w:val="32"/>
          <w:szCs w:val="32"/>
        </w:rPr>
        <w:t>0万元，占0%</w:t>
      </w:r>
      <w:r>
        <w:rPr>
          <w:rFonts w:hint="eastAsia" w:ascii="仿宋" w:hAnsi="仿宋" w:eastAsia="仿宋"/>
          <w:sz w:val="32"/>
          <w:szCs w:val="32"/>
        </w:rPr>
        <w:t>；科学技术（类）</w:t>
      </w:r>
      <w:r>
        <w:rPr>
          <w:rFonts w:hint="eastAsia" w:ascii="仿宋" w:hAnsi="仿宋" w:eastAsia="仿宋"/>
          <w:sz w:val="32"/>
          <w:szCs w:val="32"/>
        </w:rPr>
        <w:t>支出0万元，占0%</w:t>
      </w:r>
      <w:r>
        <w:rPr>
          <w:rFonts w:hint="eastAsia" w:ascii="仿宋" w:hAnsi="仿宋" w:eastAsia="仿宋"/>
          <w:sz w:val="32"/>
          <w:szCs w:val="32"/>
        </w:rPr>
        <w:t>；文化旅游体育与传媒（类）支出0万元，占0%</w:t>
      </w:r>
      <w:r>
        <w:rPr>
          <w:rFonts w:hint="eastAsia" w:ascii="仿宋" w:hAnsi="仿宋" w:eastAsia="仿宋"/>
          <w:sz w:val="32"/>
          <w:szCs w:val="32"/>
        </w:rPr>
        <w:t>；社会保障和就业（类）</w:t>
      </w:r>
      <w:r>
        <w:rPr>
          <w:rFonts w:hint="eastAsia" w:ascii="仿宋" w:hAnsi="仿宋" w:eastAsia="仿宋"/>
          <w:sz w:val="32"/>
          <w:szCs w:val="32"/>
        </w:rPr>
        <w:t>支出27.48</w:t>
      </w:r>
      <w:r>
        <w:rPr>
          <w:rFonts w:hint="eastAsia" w:ascii="仿宋" w:hAnsi="仿宋" w:eastAsia="仿宋"/>
          <w:sz w:val="32"/>
          <w:szCs w:val="32"/>
        </w:rPr>
        <w:t>万元，占1.73%</w:t>
      </w:r>
      <w:r>
        <w:rPr>
          <w:rFonts w:hint="eastAsia" w:ascii="仿宋" w:hAnsi="仿宋" w:eastAsia="仿宋"/>
          <w:sz w:val="32"/>
          <w:szCs w:val="32"/>
        </w:rPr>
        <w:t>；卫生健康支出18.56</w:t>
      </w:r>
      <w:r>
        <w:rPr>
          <w:rFonts w:hint="eastAsia" w:ascii="仿宋" w:hAnsi="仿宋" w:eastAsia="仿宋"/>
          <w:sz w:val="32"/>
          <w:szCs w:val="32"/>
        </w:rPr>
        <w:t>万元，占1.17</w:t>
      </w:r>
      <w:r>
        <w:rPr>
          <w:rFonts w:ascii="仿宋" w:hAnsi="仿宋" w:eastAsia="仿宋"/>
          <w:sz w:val="32"/>
          <w:szCs w:val="32"/>
        </w:rPr>
        <w:t>%</w:t>
      </w:r>
      <w:r>
        <w:rPr>
          <w:rFonts w:hint="eastAsia" w:ascii="仿宋" w:hAnsi="仿宋" w:eastAsia="仿宋"/>
          <w:sz w:val="32"/>
          <w:szCs w:val="32"/>
        </w:rPr>
        <w:t>；住房保障支出</w:t>
      </w:r>
      <w:r>
        <w:rPr>
          <w:rFonts w:ascii="仿宋" w:hAnsi="仿宋" w:eastAsia="仿宋"/>
          <w:sz w:val="32"/>
          <w:szCs w:val="32"/>
        </w:rPr>
        <w:t>29.8</w:t>
      </w:r>
      <w:r>
        <w:rPr>
          <w:rFonts w:hint="eastAsia" w:ascii="仿宋" w:hAnsi="仿宋" w:eastAsia="仿宋"/>
          <w:sz w:val="32"/>
          <w:szCs w:val="32"/>
        </w:rPr>
        <w:t>万元，占1.88</w:t>
      </w:r>
      <w:r>
        <w:rPr>
          <w:rFonts w:ascii="仿宋" w:hAnsi="仿宋" w:eastAsia="仿宋"/>
          <w:sz w:val="32"/>
          <w:szCs w:val="32"/>
        </w:rPr>
        <w:t>%</w:t>
      </w:r>
      <w:r>
        <w:rPr>
          <w:rFonts w:hint="eastAsia" w:ascii="仿宋" w:hAnsi="仿宋" w:eastAsia="仿宋"/>
          <w:sz w:val="32"/>
          <w:szCs w:val="32"/>
        </w:rPr>
        <w:t>。</w:t>
      </w:r>
    </w:p>
    <w:p>
      <w:pPr>
        <w:pStyle w:val="5"/>
        <w:spacing w:before="93"/>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drawing>
          <wp:inline distT="0" distB="0" distL="0" distR="0">
            <wp:extent cx="4619625" cy="2869565"/>
            <wp:effectExtent l="0" t="0" r="13335" b="1079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0"/>
                    <a:srcRect/>
                    <a:stretch>
                      <a:fillRect/>
                    </a:stretch>
                  </pic:blipFill>
                  <pic:spPr>
                    <a:xfrm>
                      <a:off x="0" y="0"/>
                      <a:ext cx="4619625" cy="286956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45" w:name="_Toc15377212"/>
      <w:bookmarkStart w:id="46" w:name="_Toc112832538"/>
      <w:r>
        <w:rPr>
          <w:rFonts w:hint="eastAsia" w:ascii="仿宋" w:hAnsi="仿宋" w:eastAsia="仿宋"/>
          <w:b/>
          <w:sz w:val="32"/>
          <w:szCs w:val="32"/>
        </w:rPr>
        <w:t>（三）一般公共预算财政拨款支出决算具体情况</w:t>
      </w:r>
      <w:bookmarkEnd w:id="45"/>
      <w:bookmarkEnd w:id="46"/>
    </w:p>
    <w:p>
      <w:pPr>
        <w:spacing w:line="600" w:lineRule="exact"/>
        <w:ind w:firstLine="643" w:firstLineChars="200"/>
        <w:outlineLvl w:val="2"/>
        <w:rPr>
          <w:rFonts w:ascii="仿宋" w:hAnsi="仿宋" w:eastAsia="仿宋"/>
          <w:sz w:val="32"/>
          <w:szCs w:val="32"/>
        </w:rPr>
      </w:pPr>
      <w:bookmarkStart w:id="47" w:name="_Toc15377444"/>
      <w:bookmarkStart w:id="48" w:name="_Toc15378460"/>
      <w:bookmarkStart w:id="49" w:name="_Toc112832539"/>
      <w:bookmarkStart w:id="50" w:name="_Toc15377213"/>
      <w:r>
        <w:rPr>
          <w:rFonts w:hint="eastAsia" w:ascii="仿宋" w:hAnsi="仿宋" w:eastAsia="仿宋"/>
          <w:b/>
          <w:sz w:val="32"/>
          <w:szCs w:val="32"/>
        </w:rPr>
        <w:t>2021年一般公共预算支出决算数为</w:t>
      </w:r>
      <w:r>
        <w:rPr>
          <w:rFonts w:ascii="仿宋" w:hAnsi="仿宋" w:eastAsia="仿宋"/>
          <w:b/>
          <w:sz w:val="32"/>
          <w:szCs w:val="32"/>
        </w:rPr>
        <w:t>1586.59</w:t>
      </w:r>
      <w:r>
        <w:rPr>
          <w:rFonts w:hint="eastAsia" w:ascii="仿宋" w:hAnsi="仿宋" w:eastAsia="仿宋"/>
          <w:sz w:val="32"/>
          <w:szCs w:val="32"/>
        </w:rPr>
        <w:t>，</w:t>
      </w:r>
      <w:r>
        <w:rPr>
          <w:rStyle w:val="14"/>
          <w:rFonts w:hint="eastAsia" w:ascii="仿宋" w:hAnsi="仿宋" w:eastAsia="仿宋"/>
          <w:bCs/>
          <w:sz w:val="32"/>
          <w:szCs w:val="32"/>
        </w:rPr>
        <w:t>完成预算99.43</w:t>
      </w:r>
      <w:r>
        <w:rPr>
          <w:rStyle w:val="14"/>
          <w:rFonts w:ascii="仿宋" w:hAnsi="仿宋" w:eastAsia="仿宋"/>
          <w:bCs/>
          <w:sz w:val="32"/>
          <w:szCs w:val="32"/>
        </w:rPr>
        <w:t>%</w:t>
      </w:r>
      <w:r>
        <w:rPr>
          <w:rStyle w:val="14"/>
          <w:rFonts w:hint="eastAsia" w:ascii="仿宋" w:hAnsi="仿宋" w:eastAsia="仿宋"/>
          <w:bCs/>
          <w:sz w:val="32"/>
          <w:szCs w:val="32"/>
        </w:rPr>
        <w:t>。其中：</w:t>
      </w:r>
      <w:bookmarkEnd w:id="47"/>
      <w:bookmarkEnd w:id="48"/>
      <w:bookmarkEnd w:id="49"/>
      <w:bookmarkEnd w:id="50"/>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1.一般公共服务（类）03（款）01（项）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270.</w:t>
      </w:r>
      <w:r>
        <w:rPr>
          <w:rStyle w:val="14"/>
          <w:rFonts w:hint="eastAsia" w:ascii="仿宋" w:hAnsi="仿宋" w:eastAsia="仿宋"/>
          <w:b w:val="0"/>
          <w:bCs/>
          <w:color w:val="000000"/>
          <w:sz w:val="32"/>
          <w:szCs w:val="32"/>
        </w:rPr>
        <w:t>07万元，完成预算96.77</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2.一般公共服务（类）03（款）02（项）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1166.67</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3.一般公共服务（类）03（款）50（项）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62.44</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4.一般公共服务（类）03（款）99（项）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7.31</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一般公共服务（类）31（款）01（项）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支出决算为2.58万元，完成预算100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420" w:firstLineChars="200"/>
        <w:rPr>
          <w:rFonts w:ascii="仿宋" w:hAnsi="仿宋" w:eastAsia="仿宋"/>
          <w:b/>
          <w:color w:val="000000"/>
          <w:sz w:val="32"/>
          <w:szCs w:val="32"/>
        </w:rPr>
      </w:pPr>
      <w:r>
        <w:rPr>
          <w:rFonts w:hint="eastAsia"/>
        </w:rPr>
        <w:t xml:space="preserve">  </w:t>
      </w:r>
      <w:r>
        <w:rPr>
          <w:rStyle w:val="14"/>
          <w:rFonts w:hint="eastAsia" w:ascii="仿宋" w:hAnsi="仿宋" w:eastAsia="仿宋"/>
          <w:bCs/>
          <w:color w:val="000000"/>
          <w:sz w:val="32"/>
          <w:szCs w:val="32"/>
        </w:rPr>
        <w:t>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一般公共服务（类）32（款）99（项）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支出决算为1.66万元，完成预算100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7.社会保障和就业（类）05（款）01（项）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支出决算为1.39万元，完成预算100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社会保障和就业（类）05（款）05（项）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支出决算为26.09万元，完成预算100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9</w:t>
      </w:r>
      <w:r>
        <w:rPr>
          <w:rStyle w:val="14"/>
          <w:rFonts w:ascii="仿宋" w:hAnsi="仿宋" w:eastAsia="仿宋"/>
          <w:bCs/>
          <w:color w:val="000000"/>
          <w:sz w:val="32"/>
          <w:szCs w:val="32"/>
        </w:rPr>
        <w:t>.</w:t>
      </w:r>
      <w:r>
        <w:rPr>
          <w:rFonts w:hint="eastAsia"/>
        </w:rPr>
        <w:t xml:space="preserve"> </w:t>
      </w:r>
      <w:r>
        <w:rPr>
          <w:rStyle w:val="14"/>
          <w:rFonts w:hint="eastAsia" w:ascii="仿宋" w:hAnsi="仿宋" w:eastAsia="仿宋"/>
          <w:bCs/>
          <w:color w:val="000000"/>
          <w:sz w:val="32"/>
          <w:szCs w:val="32"/>
        </w:rPr>
        <w:t>卫生健康（类）11（款）01（项）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支出决算为15.11万元，完成预算100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Cs/>
          <w:color w:val="000000"/>
          <w:sz w:val="32"/>
          <w:szCs w:val="32"/>
        </w:rPr>
      </w:pPr>
      <w:r>
        <w:rPr>
          <w:rStyle w:val="14"/>
          <w:rFonts w:hint="eastAsia" w:ascii="仿宋" w:hAnsi="仿宋" w:eastAsia="仿宋"/>
          <w:bCs/>
          <w:color w:val="000000"/>
          <w:sz w:val="32"/>
          <w:szCs w:val="32"/>
        </w:rPr>
        <w:t>10</w:t>
      </w:r>
      <w:r>
        <w:rPr>
          <w:rStyle w:val="14"/>
          <w:rFonts w:ascii="仿宋" w:hAnsi="仿宋" w:eastAsia="仿宋"/>
          <w:bCs/>
          <w:color w:val="000000"/>
          <w:sz w:val="32"/>
          <w:szCs w:val="32"/>
        </w:rPr>
        <w:t>.</w:t>
      </w:r>
      <w:r>
        <w:rPr>
          <w:rFonts w:hint="eastAsia"/>
        </w:rPr>
        <w:t xml:space="preserve"> </w:t>
      </w:r>
      <w:r>
        <w:rPr>
          <w:rStyle w:val="14"/>
          <w:rFonts w:hint="eastAsia" w:ascii="仿宋" w:hAnsi="仿宋" w:eastAsia="仿宋"/>
          <w:bCs/>
          <w:color w:val="000000"/>
          <w:sz w:val="32"/>
          <w:szCs w:val="32"/>
        </w:rPr>
        <w:t>卫生健康（类）11（款）02（项）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支出决算为3.44万元，完成预算100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11</w:t>
      </w:r>
      <w:r>
        <w:rPr>
          <w:rStyle w:val="14"/>
          <w:rFonts w:ascii="仿宋" w:hAnsi="仿宋" w:eastAsia="仿宋"/>
          <w:bCs/>
          <w:color w:val="000000"/>
          <w:sz w:val="32"/>
          <w:szCs w:val="32"/>
        </w:rPr>
        <w:t>.</w:t>
      </w:r>
      <w:r>
        <w:rPr>
          <w:rFonts w:hint="eastAsia" w:ascii="仿宋" w:hAnsi="仿宋" w:eastAsia="仿宋"/>
          <w:b/>
          <w:bCs/>
          <w:color w:val="000000"/>
          <w:sz w:val="32"/>
          <w:szCs w:val="32"/>
        </w:rPr>
        <w:t>住房保障</w:t>
      </w:r>
      <w:r>
        <w:rPr>
          <w:rStyle w:val="14"/>
          <w:rFonts w:hint="eastAsia" w:ascii="仿宋" w:hAnsi="仿宋" w:eastAsia="仿宋"/>
          <w:bCs/>
          <w:color w:val="000000"/>
          <w:sz w:val="32"/>
          <w:szCs w:val="32"/>
        </w:rPr>
        <w:t>（类）02（款）01（项）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支出决算为29.8万元，完成预算100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51" w:name="_Toc15396608"/>
      <w:bookmarkStart w:id="52" w:name="_Toc15377214"/>
      <w:bookmarkStart w:id="53" w:name="_Toc112832540"/>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51"/>
      <w:bookmarkEnd w:id="52"/>
      <w:bookmarkEnd w:id="53"/>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ascii="仿宋" w:hAnsi="仿宋" w:eastAsia="仿宋"/>
          <w:sz w:val="32"/>
          <w:szCs w:val="32"/>
        </w:rPr>
        <w:t>419.94</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371.88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48.06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54" w:name="_Toc15377215"/>
      <w:bookmarkStart w:id="55" w:name="_Toc112832541"/>
      <w:bookmarkStart w:id="56" w:name="_Toc15396609"/>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54"/>
      <w:bookmarkEnd w:id="55"/>
      <w:bookmarkEnd w:id="56"/>
    </w:p>
    <w:p>
      <w:pPr>
        <w:spacing w:line="600" w:lineRule="exact"/>
        <w:ind w:firstLine="640"/>
        <w:outlineLvl w:val="2"/>
        <w:rPr>
          <w:rFonts w:ascii="仿宋" w:hAnsi="仿宋" w:eastAsia="仿宋"/>
          <w:b/>
          <w:sz w:val="32"/>
          <w:szCs w:val="32"/>
        </w:rPr>
      </w:pPr>
      <w:bookmarkStart w:id="57" w:name="_Toc112832542"/>
      <w:bookmarkStart w:id="58" w:name="_Toc15377216"/>
      <w:r>
        <w:rPr>
          <w:rFonts w:hint="eastAsia" w:ascii="仿宋" w:hAnsi="仿宋" w:eastAsia="仿宋"/>
          <w:b/>
          <w:sz w:val="32"/>
          <w:szCs w:val="32"/>
        </w:rPr>
        <w:t>（一）“三公”经费财政拨款支出决算总体情况说明</w:t>
      </w:r>
      <w:bookmarkEnd w:id="57"/>
      <w:bookmarkEnd w:id="5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21年“三公”经费财政拨款支出决算为17.96万元，完成预算95.18</w:t>
      </w:r>
      <w:r>
        <w:rPr>
          <w:rFonts w:ascii="仿宋" w:hAnsi="仿宋" w:eastAsia="仿宋"/>
          <w:sz w:val="32"/>
          <w:szCs w:val="32"/>
        </w:rPr>
        <w:t>%</w:t>
      </w:r>
      <w:r>
        <w:rPr>
          <w:rFonts w:hint="eastAsia" w:ascii="仿宋" w:hAnsi="仿宋" w:eastAsia="仿宋"/>
          <w:sz w:val="32"/>
          <w:szCs w:val="32"/>
        </w:rPr>
        <w:t>，决算数小于预算数的主要原因是单位厉行节约，合理开支，公务接待费用减少。</w:t>
      </w:r>
    </w:p>
    <w:p>
      <w:pPr>
        <w:spacing w:line="600" w:lineRule="exact"/>
        <w:ind w:firstLine="640"/>
        <w:outlineLvl w:val="2"/>
        <w:rPr>
          <w:rFonts w:ascii="仿宋" w:hAnsi="仿宋" w:eastAsia="仿宋"/>
          <w:b/>
          <w:sz w:val="32"/>
          <w:szCs w:val="32"/>
        </w:rPr>
      </w:pPr>
      <w:bookmarkStart w:id="59" w:name="_Toc15377217"/>
      <w:bookmarkStart w:id="60" w:name="_Toc112832543"/>
      <w:r>
        <w:rPr>
          <w:rFonts w:hint="eastAsia" w:ascii="仿宋" w:hAnsi="仿宋" w:eastAsia="仿宋"/>
          <w:b/>
          <w:sz w:val="32"/>
          <w:szCs w:val="32"/>
        </w:rPr>
        <w:t>（二）“三公”经费财政拨款支出决算具体情况说明</w:t>
      </w:r>
      <w:bookmarkEnd w:id="59"/>
      <w:bookmarkEnd w:id="6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；公务用车购置及运行维护费支出决算17.96万元，占100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pStyle w:val="5"/>
        <w:spacing w:before="93"/>
        <w:ind w:firstLine="600" w:firstLineChars="200"/>
      </w:pPr>
      <w:r>
        <w:rPr>
          <w:rFonts w:hint="eastAsia"/>
          <w:lang w:val="en-US" w:eastAsia="zh-CN"/>
        </w:rPr>
        <w:t xml:space="preserve">     </w:t>
      </w:r>
      <w:r>
        <w:drawing>
          <wp:inline distT="0" distB="0" distL="0" distR="0">
            <wp:extent cx="3647440" cy="3006090"/>
            <wp:effectExtent l="0" t="0" r="10160" b="1143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1"/>
                    <a:srcRect/>
                    <a:stretch>
                      <a:fillRect/>
                    </a:stretch>
                  </pic:blipFill>
                  <pic:spPr>
                    <a:xfrm>
                      <a:off x="0" y="0"/>
                      <a:ext cx="3647440" cy="3006090"/>
                    </a:xfrm>
                    <a:prstGeom prst="rect">
                      <a:avLst/>
                    </a:prstGeom>
                    <a:noFill/>
                    <a:ln w="9525">
                      <a:noFill/>
                      <a:miter lim="800000"/>
                      <a:headEnd/>
                      <a:tailEnd/>
                    </a:ln>
                  </pic:spPr>
                </pic:pic>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全年安排因公出国（境）团组0次，出国（境）0人。因公出国（境）支出决算与2020年持平。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17.96万元,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20年增加17.96万元，增长100</w:t>
      </w:r>
      <w:r>
        <w:rPr>
          <w:rFonts w:ascii="仿宋_GB2312" w:eastAsia="仿宋_GB2312"/>
          <w:sz w:val="32"/>
          <w:szCs w:val="32"/>
        </w:rPr>
        <w:t>%</w:t>
      </w:r>
      <w:r>
        <w:rPr>
          <w:rFonts w:hint="eastAsia" w:ascii="仿宋_GB2312" w:eastAsia="仿宋_GB2312"/>
          <w:sz w:val="32"/>
          <w:szCs w:val="32"/>
        </w:rPr>
        <w:t>。主要原因是2021年新购置一辆公务用车。</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17.96万元。全年按规定更新购置公务用车1辆，其中：轿车1辆、金额17.96万元。截至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月底，单位共有公务用车1辆，其中：轿车1辆。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0万元。主要是公务用车是在2021年11月购置，在办理手续期间未使用公务用车，所以2021年并未产生费用。</w:t>
      </w:r>
    </w:p>
    <w:p>
      <w:pPr>
        <w:spacing w:line="600" w:lineRule="exact"/>
        <w:ind w:firstLine="640"/>
        <w:rPr>
          <w:rFonts w:ascii="黑体" w:eastAsia="黑体"/>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20年减少0.22万元，下降100</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rPr>
        <w:t>单位厉行节约，合理开支，未产生公务接待费用</w:t>
      </w:r>
      <w:r>
        <w:rPr>
          <w:rFonts w:hint="eastAsia" w:ascii="仿宋_GB2312" w:eastAsia="仿宋_GB2312"/>
          <w:sz w:val="32"/>
          <w:szCs w:val="32"/>
        </w:rPr>
        <w:t>。</w:t>
      </w:r>
      <w:bookmarkStart w:id="61" w:name="_Toc15377218"/>
      <w:bookmarkStart w:id="62" w:name="_Toc15396610"/>
    </w:p>
    <w:p>
      <w:pPr>
        <w:spacing w:line="600" w:lineRule="exact"/>
        <w:ind w:firstLine="640"/>
        <w:outlineLvl w:val="1"/>
        <w:rPr>
          <w:rStyle w:val="25"/>
          <w:rFonts w:ascii="黑体" w:hAnsi="黑体" w:eastAsia="黑体"/>
        </w:rPr>
      </w:pPr>
      <w:bookmarkStart w:id="63" w:name="_Toc112832544"/>
      <w:r>
        <w:rPr>
          <w:rFonts w:hint="eastAsia" w:ascii="黑体" w:eastAsia="黑体"/>
          <w:sz w:val="32"/>
          <w:szCs w:val="32"/>
        </w:rPr>
        <w:t>八、</w:t>
      </w:r>
      <w:r>
        <w:rPr>
          <w:rStyle w:val="25"/>
          <w:rFonts w:hint="eastAsia" w:ascii="黑体" w:hAnsi="黑体" w:eastAsia="黑体"/>
          <w:b w:val="0"/>
        </w:rPr>
        <w:t>政府性基金预算支出决算情况说明</w:t>
      </w:r>
      <w:bookmarkEnd w:id="61"/>
      <w:bookmarkEnd w:id="62"/>
      <w:bookmarkEnd w:id="6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3"/>
        </w:numPr>
        <w:spacing w:line="600" w:lineRule="exact"/>
        <w:ind w:firstLine="640"/>
        <w:outlineLvl w:val="1"/>
        <w:rPr>
          <w:rStyle w:val="25"/>
          <w:rFonts w:ascii="黑体" w:hAnsi="黑体" w:eastAsia="黑体"/>
          <w:b w:val="0"/>
        </w:rPr>
      </w:pPr>
      <w:bookmarkStart w:id="64" w:name="_Toc15396611"/>
      <w:bookmarkStart w:id="65" w:name="_Toc112832545"/>
      <w:bookmarkStart w:id="66" w:name="_Toc15377219"/>
      <w:r>
        <w:rPr>
          <w:rStyle w:val="25"/>
          <w:rFonts w:hint="eastAsia" w:ascii="黑体" w:hAnsi="黑体" w:eastAsia="黑体"/>
          <w:b w:val="0"/>
        </w:rPr>
        <w:t>国有资本经营预算支出决算情况说明</w:t>
      </w:r>
      <w:bookmarkEnd w:id="64"/>
      <w:bookmarkEnd w:id="65"/>
      <w:bookmarkEnd w:id="6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3"/>
        </w:numPr>
        <w:spacing w:line="600" w:lineRule="exact"/>
        <w:ind w:firstLine="640"/>
        <w:outlineLvl w:val="1"/>
        <w:rPr>
          <w:rStyle w:val="25"/>
          <w:rFonts w:ascii="黑体" w:hAnsi="黑体" w:eastAsia="黑体"/>
          <w:b w:val="0"/>
        </w:rPr>
      </w:pPr>
      <w:bookmarkStart w:id="67" w:name="_Toc15396612"/>
      <w:bookmarkStart w:id="68" w:name="_Toc112832546"/>
      <w:bookmarkStart w:id="69" w:name="_Toc15377221"/>
      <w:r>
        <w:rPr>
          <w:rStyle w:val="25"/>
          <w:rFonts w:hint="eastAsia" w:ascii="黑体" w:hAnsi="黑体" w:eastAsia="黑体"/>
          <w:b w:val="0"/>
        </w:rPr>
        <w:t>其他重要事项的情况说明</w:t>
      </w:r>
      <w:bookmarkEnd w:id="67"/>
      <w:bookmarkEnd w:id="68"/>
      <w:bookmarkEnd w:id="69"/>
    </w:p>
    <w:p>
      <w:pPr>
        <w:spacing w:line="600" w:lineRule="exact"/>
        <w:ind w:firstLine="643" w:firstLineChars="200"/>
        <w:outlineLvl w:val="2"/>
        <w:rPr>
          <w:rFonts w:ascii="仿宋" w:hAnsi="仿宋" w:eastAsia="仿宋"/>
          <w:sz w:val="32"/>
          <w:szCs w:val="32"/>
        </w:rPr>
      </w:pPr>
      <w:bookmarkStart w:id="70" w:name="_Toc15377222"/>
      <w:bookmarkStart w:id="71" w:name="_Toc112832547"/>
      <w:r>
        <w:rPr>
          <w:rFonts w:hint="eastAsia" w:ascii="仿宋" w:hAnsi="仿宋" w:eastAsia="仿宋"/>
          <w:b/>
          <w:sz w:val="32"/>
          <w:szCs w:val="32"/>
        </w:rPr>
        <w:t>（一）机关运行经费支出情况</w:t>
      </w:r>
      <w:bookmarkEnd w:id="70"/>
      <w:bookmarkEnd w:id="7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攀枝花市政务服务管理局</w:t>
      </w:r>
      <w:r>
        <w:rPr>
          <w:rFonts w:hint="eastAsia" w:ascii="仿宋_GB2312" w:eastAsia="仿宋_GB2312"/>
          <w:sz w:val="32"/>
          <w:szCs w:val="32"/>
        </w:rPr>
        <w:t>机关运行经费支出48.04万元，比</w:t>
      </w:r>
      <w:r>
        <w:rPr>
          <w:rFonts w:ascii="仿宋_GB2312" w:eastAsia="仿宋_GB2312"/>
          <w:sz w:val="32"/>
          <w:szCs w:val="32"/>
        </w:rPr>
        <w:t>20</w:t>
      </w:r>
      <w:r>
        <w:rPr>
          <w:rFonts w:hint="eastAsia" w:ascii="仿宋_GB2312" w:eastAsia="仿宋_GB2312"/>
          <w:sz w:val="32"/>
          <w:szCs w:val="32"/>
        </w:rPr>
        <w:t>20年减少183.76万元，下降79.28</w:t>
      </w:r>
      <w:r>
        <w:rPr>
          <w:rFonts w:ascii="仿宋_GB2312" w:eastAsia="仿宋_GB2312"/>
          <w:sz w:val="32"/>
          <w:szCs w:val="32"/>
        </w:rPr>
        <w:t>%</w:t>
      </w:r>
      <w:r>
        <w:rPr>
          <w:rFonts w:hint="eastAsia" w:ascii="仿宋_GB2312" w:eastAsia="仿宋_GB2312"/>
          <w:sz w:val="32"/>
          <w:szCs w:val="32"/>
        </w:rPr>
        <w:t>。主要原因是减少了新址搬迁配套设施建设、广告宣传等费用。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2" w:name="_Toc112832548"/>
      <w:bookmarkStart w:id="73" w:name="_Toc15377223"/>
      <w:r>
        <w:rPr>
          <w:rFonts w:hint="eastAsia" w:ascii="仿宋" w:hAnsi="仿宋" w:eastAsia="仿宋"/>
          <w:b/>
          <w:sz w:val="32"/>
          <w:szCs w:val="32"/>
        </w:rPr>
        <w:t>（二）政府采购支出情况</w:t>
      </w:r>
      <w:bookmarkEnd w:id="72"/>
      <w:bookmarkEnd w:id="7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攀枝花市政务服务管理局</w:t>
      </w:r>
      <w:r>
        <w:rPr>
          <w:rFonts w:hint="eastAsia" w:ascii="仿宋_GB2312" w:eastAsia="仿宋_GB2312"/>
          <w:sz w:val="32"/>
          <w:szCs w:val="32"/>
        </w:rPr>
        <w:t>政府采购支出总额1095.96万元，其中：政府采购货物支出17.96万元、政府采购工程支出0万元、政府采购服务支出1078万元。主要用于新址搬迁建设档案无轨密集架、窗帘采购等采购项目。</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4" w:name="_Toc15377224"/>
      <w:bookmarkStart w:id="75" w:name="_Toc112832549"/>
      <w:r>
        <w:rPr>
          <w:rFonts w:hint="eastAsia" w:ascii="仿宋" w:hAnsi="仿宋" w:eastAsia="仿宋"/>
          <w:b/>
          <w:sz w:val="32"/>
          <w:szCs w:val="32"/>
        </w:rPr>
        <w:t>（三）国有资产占有使用情况</w:t>
      </w:r>
      <w:bookmarkEnd w:id="74"/>
      <w:bookmarkEnd w:id="75"/>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攀枝花市政务服务管理局</w:t>
      </w:r>
      <w:r>
        <w:rPr>
          <w:rFonts w:hint="eastAsia" w:ascii="仿宋_GB2312" w:eastAsia="仿宋_GB2312"/>
          <w:sz w:val="32"/>
          <w:szCs w:val="32"/>
        </w:rPr>
        <w:t>共有车辆1辆，其中：主要领导干部用车0辆、机要通信用车0辆、应急保障用车0辆、其他用车1辆，其他用车主要是用于执行公务。单价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6" w:name="_Toc112832550"/>
      <w:r>
        <w:rPr>
          <w:rFonts w:hint="eastAsia" w:ascii="仿宋" w:hAnsi="仿宋" w:eastAsia="仿宋"/>
          <w:b/>
          <w:sz w:val="32"/>
          <w:szCs w:val="32"/>
        </w:rPr>
        <w:t>（四）预算绩效管理情况</w:t>
      </w:r>
      <w:bookmarkEnd w:id="76"/>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购买劳务、2020年采购项目、伙食费补助、机关运行、网络通信维护费、租赁费等5个项目开展了预算事前绩效评估，对5个项目编制了绩效目标，预算执行过程中，选取5个项目开展绩效监控，年终执行完毕后，对1个项目开展了绩效自评，2021年特定目标类部门预算项目绩效目标自评表见附件。</w:t>
      </w:r>
    </w:p>
    <w:p>
      <w:pPr>
        <w:pStyle w:val="5"/>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77" w:name="_Toc15396613"/>
      <w:bookmarkStart w:id="78" w:name="_Toc15377225"/>
      <w:bookmarkStart w:id="79" w:name="_Toc112832551"/>
      <w:r>
        <w:rPr>
          <w:rFonts w:hint="eastAsia" w:ascii="黑体" w:hAnsi="黑体" w:eastAsia="黑体"/>
          <w:sz w:val="44"/>
          <w:szCs w:val="44"/>
        </w:rPr>
        <w:t>名</w:t>
      </w:r>
      <w:r>
        <w:rPr>
          <w:rStyle w:val="24"/>
          <w:rFonts w:hint="eastAsia" w:ascii="黑体" w:hAnsi="黑体" w:eastAsia="黑体"/>
          <w:b w:val="0"/>
        </w:rPr>
        <w:t>词解释</w:t>
      </w:r>
      <w:bookmarkEnd w:id="77"/>
      <w:bookmarkEnd w:id="78"/>
      <w:bookmarkEnd w:id="79"/>
    </w:p>
    <w:p>
      <w:pPr>
        <w:spacing w:line="600" w:lineRule="exact"/>
        <w:jc w:val="left"/>
        <w:rPr>
          <w:rFonts w:ascii="宋体"/>
          <w:b/>
          <w:sz w:val="44"/>
          <w:szCs w:val="44"/>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其他收入：指单位取得的除上述收入以外的各项收入。主要是利息收入。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一般公共服务（类）03（款）01（项）：指行政单位（包括实行公务员管理的事业单位）的基本支出。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10.一般公共服务（类）03（款）02（项）：指行政单位（包括实行公务员管理的事业单位）提供未单独设置项级科目的其他项目支出。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11.一般公共服务（类）03（款）50（项）：指事业单位的基本支出，不包括行政单位（包括实行公务员管理的事业单位）后勤服务中心、医务室等附属事业单位。</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12.一般公共服务（类）03（款）99（项）：指除上述项目以外的其他政府办公厅（室）及相关机构事务支出。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hint="eastAsia" w:ascii="仿宋" w:hAnsi="仿宋" w:eastAsia="仿宋"/>
          <w:bCs/>
          <w:color w:val="000000"/>
          <w:sz w:val="32"/>
          <w:szCs w:val="32"/>
        </w:rPr>
        <w:t xml:space="preserve"> </w:t>
      </w:r>
      <w:r>
        <w:rPr>
          <w:rStyle w:val="14"/>
          <w:rFonts w:hint="eastAsia" w:ascii="仿宋" w:hAnsi="仿宋" w:eastAsia="仿宋"/>
          <w:b w:val="0"/>
          <w:bCs/>
          <w:color w:val="000000"/>
          <w:sz w:val="32"/>
          <w:szCs w:val="32"/>
        </w:rPr>
        <w:t>一般公共服务（类）31（款）01（项）</w:t>
      </w:r>
      <w:r>
        <w:rPr>
          <w:rFonts w:hint="eastAsia" w:ascii="仿宋_GB2312" w:eastAsia="仿宋_GB2312"/>
          <w:color w:val="000000"/>
          <w:sz w:val="32"/>
          <w:szCs w:val="32"/>
        </w:rPr>
        <w:t>：指党委办公厅（室）及相关机构事务方面的支出。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hint="eastAsia" w:ascii="仿宋" w:hAnsi="仿宋" w:eastAsia="仿宋"/>
          <w:bCs/>
          <w:color w:val="000000"/>
          <w:sz w:val="32"/>
          <w:szCs w:val="32"/>
        </w:rPr>
        <w:t xml:space="preserve"> </w:t>
      </w:r>
      <w:r>
        <w:rPr>
          <w:rStyle w:val="14"/>
          <w:rFonts w:hint="eastAsia" w:ascii="仿宋" w:hAnsi="仿宋" w:eastAsia="仿宋"/>
          <w:b w:val="0"/>
          <w:bCs/>
          <w:color w:val="000000"/>
          <w:sz w:val="32"/>
          <w:szCs w:val="32"/>
        </w:rPr>
        <w:t>一般公共服务（类）32（款）99（项）</w:t>
      </w:r>
      <w:r>
        <w:rPr>
          <w:rFonts w:hint="eastAsia" w:ascii="仿宋_GB2312" w:eastAsia="仿宋_GB2312"/>
          <w:color w:val="000000"/>
          <w:sz w:val="32"/>
          <w:szCs w:val="32"/>
        </w:rPr>
        <w:t>：指除上述项目以外其他用于中国共产党组织部门的事务支出。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社会保障和就业（类）05（款）01（项）：指实行归口管理的行政单位（包括实行公务员管理的事业单位）开支的离退休经费。</w:t>
      </w:r>
    </w:p>
    <w:p>
      <w:pPr>
        <w:ind w:firstLine="640" w:firstLineChars="200"/>
        <w:rPr>
          <w:rStyle w:val="14"/>
          <w:rFonts w:ascii="仿宋_GB2312" w:eastAsia="仿宋_GB2312"/>
          <w:b w:val="0"/>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社会保障和就业（类）05（款）05（项）：指机关事业单位实施养老保险制度由单位缴纳的基本养老保险费支出。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 xml:space="preserve"> 卫生健康（类）11（款）01（项）</w:t>
      </w:r>
      <w:r>
        <w:rPr>
          <w:rFonts w:ascii="仿宋_GB2312" w:eastAsia="仿宋_GB2312"/>
          <w:color w:val="000000"/>
          <w:sz w:val="32"/>
          <w:szCs w:val="32"/>
        </w:rPr>
        <w:t>:</w:t>
      </w:r>
      <w:r>
        <w:rPr>
          <w:rFonts w:hint="eastAsia" w:ascii="仿宋_GB2312" w:eastAsia="仿宋_GB2312"/>
          <w:color w:val="000000"/>
          <w:sz w:val="32"/>
          <w:szCs w:val="32"/>
        </w:rPr>
        <w:t>指行政单位医疗支出。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 xml:space="preserve"> 卫生健康（类）11（款）02（项）</w:t>
      </w:r>
      <w:r>
        <w:rPr>
          <w:rFonts w:ascii="仿宋_GB2312" w:eastAsia="仿宋_GB2312"/>
          <w:color w:val="000000"/>
          <w:sz w:val="32"/>
          <w:szCs w:val="32"/>
        </w:rPr>
        <w:t>:</w:t>
      </w:r>
      <w:r>
        <w:rPr>
          <w:rFonts w:hint="eastAsia" w:ascii="仿宋_GB2312" w:eastAsia="仿宋_GB2312"/>
          <w:color w:val="000000"/>
          <w:sz w:val="32"/>
          <w:szCs w:val="32"/>
        </w:rPr>
        <w:t>指事业单位医疗支出。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19</w:t>
      </w:r>
      <w:r>
        <w:rPr>
          <w:rFonts w:ascii="仿宋_GB2312" w:eastAsia="仿宋_GB2312"/>
          <w:color w:val="000000"/>
          <w:sz w:val="32"/>
          <w:szCs w:val="32"/>
        </w:rPr>
        <w:t>.</w:t>
      </w:r>
      <w:r>
        <w:rPr>
          <w:rFonts w:hint="eastAsia" w:ascii="仿宋_GB2312" w:eastAsia="仿宋_GB2312"/>
          <w:color w:val="000000"/>
          <w:sz w:val="32"/>
          <w:szCs w:val="32"/>
        </w:rPr>
        <w:t>住房保障（类）02（款）01（项）：指住房公积金支出。</w:t>
      </w:r>
    </w:p>
    <w:p>
      <w:pPr>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sz w:val="44"/>
          <w:szCs w:val="44"/>
        </w:rPr>
      </w:pPr>
      <w:bookmarkStart w:id="80" w:name="_Toc112832552"/>
      <w:bookmarkStart w:id="81" w:name="_Toc15396614"/>
      <w:bookmarkStart w:id="82" w:name="_Toc15377226"/>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numPr>
          <w:ilvl w:val="0"/>
          <w:numId w:val="4"/>
        </w:numPr>
        <w:spacing w:line="600" w:lineRule="exact"/>
        <w:ind w:left="0" w:leftChars="0" w:firstLine="660" w:firstLineChars="150"/>
        <w:jc w:val="center"/>
        <w:outlineLvl w:val="0"/>
        <w:rPr>
          <w:rStyle w:val="24"/>
          <w:rFonts w:hint="eastAsia" w:ascii="黑体" w:hAnsi="黑体" w:eastAsia="黑体"/>
          <w:b w:val="0"/>
        </w:rPr>
      </w:pPr>
      <w:r>
        <w:rPr>
          <w:rStyle w:val="24"/>
          <w:rFonts w:hint="eastAsia" w:ascii="黑体" w:hAnsi="黑体" w:eastAsia="黑体"/>
          <w:b w:val="0"/>
        </w:rPr>
        <w:t>附件</w:t>
      </w:r>
      <w:bookmarkEnd w:id="80"/>
      <w:bookmarkEnd w:id="81"/>
    </w:p>
    <w:p>
      <w:pPr>
        <w:spacing w:line="572" w:lineRule="exact"/>
        <w:jc w:val="center"/>
        <w:rPr>
          <w:rFonts w:ascii="黑体" w:hAnsi="宋体" w:eastAsia="黑体" w:cs="宋体"/>
          <w:kern w:val="0"/>
          <w:sz w:val="24"/>
          <w:szCs w:val="32"/>
          <w:shd w:val="clear" w:color="auto" w:fill="FFFFFF"/>
        </w:rPr>
      </w:pPr>
      <w:r>
        <w:rPr>
          <w:rFonts w:hint="eastAsia" w:ascii="方正小标宋简体" w:hAnsi="宋体" w:eastAsia="方正小标宋简体"/>
          <w:kern w:val="0"/>
          <w:sz w:val="40"/>
          <w:szCs w:val="44"/>
        </w:rPr>
        <w:t>2021年攀枝花市政务服务管理局</w:t>
      </w:r>
      <w:r>
        <w:rPr>
          <w:rFonts w:hint="eastAsia" w:ascii="方正小标宋简体" w:hAnsi="宋体" w:eastAsia="方正小标宋简体"/>
          <w:kern w:val="0"/>
          <w:sz w:val="40"/>
          <w:szCs w:val="44"/>
          <w:lang w:val="en-US" w:eastAsia="zh-CN"/>
        </w:rPr>
        <w:t>单位</w:t>
      </w:r>
      <w:r>
        <w:rPr>
          <w:rFonts w:hint="eastAsia" w:ascii="方正小标宋简体" w:hAnsi="宋体" w:eastAsia="方正小标宋简体"/>
          <w:kern w:val="0"/>
          <w:sz w:val="40"/>
          <w:szCs w:val="44"/>
        </w:rPr>
        <w:t>整体绩效评价报告</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r>
        <w:rPr>
          <w:color w:val="333333"/>
          <w:sz w:val="28"/>
          <w:szCs w:val="28"/>
        </w:rPr>
        <w:t>市政务服务管理局属一级预算单位，下属2个事业单位：市政务服务中心和市公共资源交易中心。市政务服务管理局行政编制10个，工勤编制2个</w:t>
      </w:r>
      <w:r>
        <w:rPr>
          <w:rFonts w:hint="eastAsia"/>
          <w:color w:val="333333"/>
          <w:sz w:val="28"/>
          <w:szCs w:val="28"/>
        </w:rPr>
        <w:t>；</w:t>
      </w:r>
      <w:r>
        <w:rPr>
          <w:color w:val="333333"/>
          <w:sz w:val="28"/>
          <w:szCs w:val="28"/>
        </w:rPr>
        <w:t>市政务中心事业编制</w:t>
      </w:r>
      <w:r>
        <w:rPr>
          <w:rFonts w:hint="eastAsia"/>
          <w:color w:val="333333"/>
          <w:sz w:val="28"/>
          <w:szCs w:val="28"/>
        </w:rPr>
        <w:t>10</w:t>
      </w:r>
      <w:r>
        <w:rPr>
          <w:color w:val="333333"/>
          <w:sz w:val="28"/>
          <w:szCs w:val="28"/>
        </w:rPr>
        <w:t>个</w:t>
      </w:r>
      <w:r>
        <w:rPr>
          <w:rFonts w:hint="eastAsia"/>
          <w:color w:val="333333"/>
          <w:sz w:val="28"/>
          <w:szCs w:val="28"/>
        </w:rPr>
        <w:t>；</w:t>
      </w:r>
      <w:r>
        <w:rPr>
          <w:color w:val="333333"/>
          <w:sz w:val="28"/>
          <w:szCs w:val="28"/>
        </w:rPr>
        <w:t>市公共资源交易中心编制21个。</w:t>
      </w:r>
    </w:p>
    <w:p>
      <w:pPr>
        <w:spacing w:line="576" w:lineRule="exact"/>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组织拟订全市政务服务、行政审批制度改革和公共资源交易管理服务发展规划、政策和措施并组织、指导实施。</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负责政务服务管理工作。指导、协调并推进全市政务服务体系建设。指导、协调和监督市级部门（单位）政务服务工作。指导、监督相关电子政务服务平台建设和运行工作。对县、区政务服务管理机构进行业务指导。</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负责指导、协调、监督并推进全市深化行政审批制度改革工作。</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负责公共资源交易服务管理工作。指导、协调并推进全市公共资源交易服务体系建设，牵头负责公共资源交易主体信用体系建设。指导、协调、监督管理公共资源交易服务工作。</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指导、协调、监督、考核进驻部门（单位）的政务服务工作，审核进驻政务服务事项，对部门（单位）独立设置的办事大厅进行业务指导和监督。</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按照省、市要求，指导、推进相对集中行政许可权改革。</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负责职责范围的安全生产和职业健康、生态环境保护、审批服务便民化等工作。</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完成市委、市政府交办的其他任务。</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83" w:name="_Toc113530928"/>
      <w:r>
        <w:rPr>
          <w:rFonts w:hint="eastAsia" w:hAnsi="仿宋"/>
          <w:sz w:val="32"/>
          <w:szCs w:val="32"/>
        </w:rPr>
        <w:t>9.</w:t>
      </w:r>
      <w:r>
        <w:rPr>
          <w:rFonts w:hAnsi="仿宋"/>
          <w:sz w:val="32"/>
          <w:szCs w:val="32"/>
        </w:rPr>
        <w:t>职能转变。坚持以人民为中心的发展思想，以方便企业和群众办事为目标，努力提高政务服务质量和效率。规范行政审批行为，督促落实审批事项事中事后监管措施。加快推进审批服务便民化相关举措，持续开展减证便民行动，积极推进政务服务“一网、一门、一次”改革。</w:t>
      </w:r>
      <w:bookmarkEnd w:id="83"/>
    </w:p>
    <w:p>
      <w:pPr>
        <w:pStyle w:val="31"/>
        <w:spacing w:before="0" w:beforeAutospacing="0" w:after="0" w:afterAutospacing="0"/>
        <w:ind w:firstLine="639"/>
        <w:jc w:val="both"/>
        <w:rPr>
          <w:rFonts w:ascii="仿宋_GB2312" w:hAnsi="仿宋" w:eastAsia="仿宋_GB2312" w:cs="Times New Roman"/>
          <w:kern w:val="0"/>
          <w:sz w:val="32"/>
          <w:szCs w:val="32"/>
          <w:lang w:val="en-US" w:eastAsia="zh-CN" w:bidi="ar-SA"/>
        </w:rPr>
      </w:pPr>
      <w:r>
        <w:rPr>
          <w:rFonts w:hint="eastAsia" w:ascii="仿宋_GB2312" w:eastAsia="仿宋_GB2312"/>
          <w:sz w:val="32"/>
          <w:szCs w:val="32"/>
          <w:shd w:val="clear" w:color="auto" w:fill="FFFFFF"/>
          <w:lang w:val="zh-CN"/>
        </w:rPr>
        <w:t>（三）人员概况。</w:t>
      </w:r>
      <w:r>
        <w:rPr>
          <w:rFonts w:hint="eastAsia" w:ascii="仿宋_GB2312" w:hAnsi="仿宋" w:eastAsia="仿宋_GB2312" w:cs="Times New Roman"/>
          <w:kern w:val="0"/>
          <w:sz w:val="32"/>
          <w:szCs w:val="32"/>
          <w:lang w:val="en-US" w:eastAsia="zh-CN" w:bidi="ar-SA"/>
        </w:rPr>
        <w:t>2021年末实有一般公共预算财政拨款开支在职人员35人，其中：行政人员15人（公务员14人、机关工勤1人）；事业人员22人。2021年末实有一般公共预算财政拨款开支其他人员1人，为按攀﹝2012﹞86号文管理司勤人员。</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仿宋" w:eastAsia="仿宋_GB2312"/>
          <w:sz w:val="32"/>
          <w:szCs w:val="32"/>
        </w:rPr>
      </w:pPr>
      <w:r>
        <w:rPr>
          <w:rFonts w:hint="eastAsia" w:ascii="仿宋_GB2312" w:hAnsi="宋体" w:eastAsia="仿宋_GB2312" w:cs="宋体"/>
          <w:kern w:val="0"/>
          <w:sz w:val="32"/>
          <w:szCs w:val="32"/>
          <w:shd w:val="clear" w:color="auto" w:fill="FFFFFF"/>
          <w:lang w:val="zh-CN"/>
        </w:rPr>
        <w:t>（一）部门财政资金收入情况。</w:t>
      </w:r>
      <w:r>
        <w:rPr>
          <w:rFonts w:hint="eastAsia" w:ascii="仿宋_GB2312" w:hAnsi="仿宋" w:eastAsia="仿宋_GB2312"/>
          <w:sz w:val="32"/>
          <w:szCs w:val="32"/>
        </w:rPr>
        <w:t>2021年一般公共预算财政拨款收入1595.64万元，其中：当年财政拨款收入1077.14万元，上年结转518.5万元。</w:t>
      </w:r>
    </w:p>
    <w:p>
      <w:pPr>
        <w:spacing w:line="600" w:lineRule="exact"/>
        <w:ind w:firstLine="640" w:firstLineChars="200"/>
        <w:outlineLvl w:val="1"/>
        <w:rPr>
          <w:rFonts w:ascii="仿宋_GB2312" w:hAnsi="宋体" w:eastAsia="仿宋_GB2312" w:cs="宋体"/>
          <w:kern w:val="0"/>
          <w:sz w:val="32"/>
          <w:szCs w:val="32"/>
          <w:shd w:val="clear" w:color="auto" w:fill="FFFFFF"/>
        </w:rPr>
      </w:pP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r>
        <w:rPr>
          <w:rFonts w:ascii="仿宋" w:hAnsi="仿宋" w:eastAsia="仿宋"/>
          <w:sz w:val="32"/>
          <w:szCs w:val="32"/>
        </w:rPr>
        <w:t>20</w:t>
      </w:r>
      <w:r>
        <w:rPr>
          <w:rFonts w:hint="eastAsia" w:ascii="仿宋" w:hAnsi="仿宋" w:eastAsia="仿宋"/>
          <w:sz w:val="32"/>
          <w:szCs w:val="32"/>
        </w:rPr>
        <w:t>21年本年支出合计1595.64万元，其中：基本支出419.94</w:t>
      </w:r>
      <w:r>
        <w:rPr>
          <w:rFonts w:ascii="仿宋" w:hAnsi="仿宋" w:eastAsia="仿宋"/>
          <w:sz w:val="32"/>
          <w:szCs w:val="32"/>
        </w:rPr>
        <w:t>7</w:t>
      </w:r>
      <w:r>
        <w:rPr>
          <w:rFonts w:hint="eastAsia" w:ascii="仿宋" w:hAnsi="仿宋" w:eastAsia="仿宋"/>
          <w:sz w:val="32"/>
          <w:szCs w:val="32"/>
        </w:rPr>
        <w:t>万元，占</w:t>
      </w:r>
      <w:r>
        <w:rPr>
          <w:rFonts w:hint="eastAsia" w:ascii="仿宋" w:hAnsi="仿宋" w:eastAsia="仿宋"/>
          <w:sz w:val="32"/>
          <w:szCs w:val="32"/>
          <w:lang w:val="en-US" w:eastAsia="zh-CN"/>
        </w:rPr>
        <w:t>26.32</w:t>
      </w:r>
      <w:r>
        <w:rPr>
          <w:rFonts w:ascii="仿宋" w:hAnsi="仿宋" w:eastAsia="仿宋"/>
          <w:sz w:val="32"/>
          <w:szCs w:val="32"/>
        </w:rPr>
        <w:t>%</w:t>
      </w:r>
      <w:r>
        <w:rPr>
          <w:rFonts w:hint="eastAsia" w:ascii="仿宋" w:hAnsi="仿宋" w:eastAsia="仿宋"/>
          <w:sz w:val="32"/>
          <w:szCs w:val="32"/>
        </w:rPr>
        <w:t>；项目支出1166.67万元，占</w:t>
      </w:r>
      <w:r>
        <w:rPr>
          <w:rFonts w:hint="eastAsia" w:ascii="仿宋" w:hAnsi="仿宋" w:eastAsia="仿宋"/>
          <w:sz w:val="32"/>
          <w:szCs w:val="32"/>
          <w:lang w:val="en-US" w:eastAsia="zh-CN"/>
        </w:rPr>
        <w:t>73.12</w:t>
      </w:r>
      <w:r>
        <w:rPr>
          <w:rFonts w:ascii="仿宋" w:hAnsi="仿宋" w:eastAsia="仿宋"/>
          <w:sz w:val="32"/>
          <w:szCs w:val="32"/>
        </w:rPr>
        <w:t>%</w:t>
      </w:r>
      <w:r>
        <w:rPr>
          <w:rFonts w:hint="eastAsia" w:ascii="仿宋" w:hAnsi="仿宋" w:eastAsia="仿宋"/>
          <w:sz w:val="32"/>
          <w:szCs w:val="32"/>
        </w:rPr>
        <w:t>。</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pStyle w:val="5"/>
        <w:spacing w:before="93"/>
        <w:ind w:firstLine="803" w:firstLineChars="250"/>
        <w:rPr>
          <w:rFonts w:hAnsi="宋体" w:cs="宋体"/>
          <w:b/>
          <w:bCs/>
          <w:sz w:val="32"/>
          <w:szCs w:val="32"/>
          <w:shd w:val="clear" w:color="auto" w:fill="FFFFFF"/>
          <w:lang w:val="zh-CN"/>
        </w:rPr>
      </w:pPr>
      <w:r>
        <w:rPr>
          <w:rFonts w:hint="eastAsia" w:hAnsi="宋体" w:cs="宋体"/>
          <w:b/>
          <w:bCs/>
          <w:sz w:val="32"/>
          <w:szCs w:val="32"/>
          <w:shd w:val="clear" w:color="auto" w:fill="FFFFFF"/>
          <w:lang w:val="zh-CN"/>
        </w:rPr>
        <w:t>（一）市级财政资金绩效目标完成情况</w:t>
      </w:r>
    </w:p>
    <w:p>
      <w:pPr>
        <w:widowControl/>
        <w:spacing w:line="560" w:lineRule="exact"/>
        <w:ind w:firstLine="643" w:firstLineChars="200"/>
        <w:jc w:val="left"/>
        <w:rPr>
          <w:rFonts w:ascii="微软雅黑" w:hAnsi="微软雅黑" w:eastAsia="微软雅黑" w:cs="宋体"/>
          <w:color w:val="333333"/>
          <w:kern w:val="0"/>
          <w:sz w:val="23"/>
          <w:szCs w:val="23"/>
        </w:rPr>
      </w:pPr>
      <w:r>
        <w:rPr>
          <w:rFonts w:hint="eastAsia" w:ascii="仿宋_GB2312" w:hAnsi="仿宋" w:eastAsia="仿宋_GB2312" w:cs="宋体"/>
          <w:b/>
          <w:color w:val="333333"/>
          <w:kern w:val="0"/>
          <w:sz w:val="32"/>
          <w:szCs w:val="32"/>
        </w:rPr>
        <w:t>1.产出指标完成情况分析。</w:t>
      </w:r>
      <w:r>
        <w:rPr>
          <w:rFonts w:hint="eastAsia" w:ascii="仿宋_GB2312" w:hAnsi="微软雅黑" w:eastAsia="仿宋_GB2312" w:cs="宋体"/>
          <w:color w:val="333333"/>
          <w:kern w:val="0"/>
          <w:sz w:val="32"/>
          <w:szCs w:val="32"/>
        </w:rPr>
        <w:t>包括数量指标、质量指标、时效指标和成本指标。</w:t>
      </w:r>
    </w:p>
    <w:p>
      <w:pPr>
        <w:widowControl/>
        <w:spacing w:line="560" w:lineRule="exact"/>
        <w:ind w:firstLine="643" w:firstLineChars="200"/>
        <w:jc w:val="left"/>
        <w:rPr>
          <w:rFonts w:hint="eastAsia" w:ascii="仿宋_GB2312" w:hAnsi="宋体" w:eastAsia="仿宋_GB2312" w:cs="宋体"/>
          <w:kern w:val="0"/>
          <w:sz w:val="32"/>
          <w:szCs w:val="32"/>
          <w:shd w:val="clear" w:color="auto" w:fill="FFFFFF"/>
          <w:lang w:val="zh-CN"/>
        </w:rPr>
      </w:pPr>
      <w:r>
        <w:rPr>
          <w:rFonts w:hint="eastAsia" w:ascii="仿宋_GB2312" w:hAnsi="微软雅黑" w:eastAsia="仿宋_GB2312" w:cs="宋体"/>
          <w:b/>
          <w:bCs/>
          <w:color w:val="333333"/>
          <w:kern w:val="0"/>
          <w:sz w:val="32"/>
        </w:rPr>
        <w:t>（1）数量指标：</w:t>
      </w:r>
      <w:r>
        <w:rPr>
          <w:rFonts w:hint="eastAsia" w:ascii="仿宋_GB2312" w:hAnsi="宋体" w:eastAsia="仿宋_GB2312" w:cs="宋体"/>
          <w:kern w:val="0"/>
          <w:sz w:val="32"/>
          <w:szCs w:val="32"/>
          <w:shd w:val="clear" w:color="auto" w:fill="FFFFFF"/>
          <w:lang w:val="zh-CN"/>
        </w:rPr>
        <w:t>推动实现全市10365项政务服务事项办理全流程“最多跑一次”，占事项总数的96.38%，10745</w:t>
      </w:r>
      <w:bookmarkStart w:id="113" w:name="_GoBack"/>
      <w:bookmarkEnd w:id="113"/>
      <w:r>
        <w:rPr>
          <w:rFonts w:hint="eastAsia" w:ascii="仿宋_GB2312" w:hAnsi="宋体" w:eastAsia="仿宋_GB2312" w:cs="宋体"/>
          <w:kern w:val="0"/>
          <w:sz w:val="32"/>
          <w:szCs w:val="32"/>
          <w:shd w:val="clear" w:color="auto" w:fill="FFFFFF"/>
          <w:lang w:val="zh-CN"/>
        </w:rPr>
        <w:t>项政务服务事项实现网上可办，占事项总数的99.92%。全市共计229项政务服务事项实现“省内通办”，210项政务服务事项实现“川渝通办”，148项政务服务事项实现“跨省通办”。优化工程项目审批，将工程项目审批事项由原来的87项压减至65项，审批时限由原来的300多天压缩至90天以内。将人防、消防、技术性审查统一纳入到施工图审查环节，联合审图率达100%。截止目前，共计入驻窗口单位55个，入驻窗口工作人员700余人，入驻审批服务事项1361项，共设前台窗口167个，入驻单位、入驻人员、入驻事项数量均为全省之最。大厅总维护面积5万余平方。</w:t>
      </w:r>
    </w:p>
    <w:p>
      <w:pPr>
        <w:widowControl/>
        <w:spacing w:line="560" w:lineRule="exact"/>
        <w:ind w:firstLine="643" w:firstLineChars="200"/>
        <w:jc w:val="left"/>
        <w:rPr>
          <w:rFonts w:hint="eastAsia" w:ascii="仿宋_GB2312" w:hAnsi="宋体" w:eastAsia="仿宋_GB2312" w:cs="宋体"/>
          <w:kern w:val="0"/>
          <w:sz w:val="32"/>
          <w:szCs w:val="32"/>
          <w:shd w:val="clear" w:color="auto" w:fill="FFFFFF"/>
          <w:lang w:val="zh-CN"/>
        </w:rPr>
      </w:pPr>
      <w:r>
        <w:rPr>
          <w:rFonts w:hint="eastAsia" w:ascii="仿宋_GB2312" w:hAnsi="微软雅黑" w:eastAsia="仿宋_GB2312" w:cs="宋体"/>
          <w:b/>
          <w:bCs/>
          <w:color w:val="333333"/>
          <w:kern w:val="0"/>
          <w:sz w:val="32"/>
        </w:rPr>
        <w:t>（2）质量指标：</w:t>
      </w:r>
      <w:r>
        <w:rPr>
          <w:rFonts w:hint="eastAsia" w:ascii="仿宋_GB2312" w:hAnsi="宋体" w:eastAsia="仿宋_GB2312" w:cs="宋体"/>
          <w:kern w:val="0"/>
          <w:sz w:val="32"/>
          <w:szCs w:val="32"/>
          <w:shd w:val="clear" w:color="auto" w:fill="FFFFFF"/>
          <w:lang w:val="zh-CN"/>
        </w:rPr>
        <w:t>重点任务完成率指标值为100%，实际完成数100%，完成率100%。</w:t>
      </w:r>
    </w:p>
    <w:p>
      <w:pPr>
        <w:widowControl/>
        <w:spacing w:line="560" w:lineRule="exact"/>
        <w:ind w:firstLine="643" w:firstLineChars="200"/>
        <w:jc w:val="left"/>
        <w:rPr>
          <w:rFonts w:hint="eastAsia" w:ascii="仿宋_GB2312" w:hAnsi="宋体" w:eastAsia="仿宋_GB2312" w:cs="宋体"/>
          <w:kern w:val="0"/>
          <w:sz w:val="32"/>
          <w:szCs w:val="32"/>
          <w:shd w:val="clear" w:color="auto" w:fill="FFFFFF"/>
          <w:lang w:val="zh-CN"/>
        </w:rPr>
      </w:pPr>
      <w:r>
        <w:rPr>
          <w:rFonts w:hint="eastAsia" w:ascii="仿宋_GB2312" w:hAnsi="微软雅黑" w:eastAsia="仿宋_GB2312" w:cs="宋体"/>
          <w:b/>
          <w:bCs/>
          <w:color w:val="333333"/>
          <w:kern w:val="0"/>
          <w:sz w:val="32"/>
        </w:rPr>
        <w:t>时效指标：</w:t>
      </w:r>
      <w:r>
        <w:rPr>
          <w:rFonts w:hint="eastAsia" w:ascii="仿宋_GB2312" w:hAnsi="宋体" w:eastAsia="仿宋_GB2312" w:cs="宋体"/>
          <w:kern w:val="0"/>
          <w:sz w:val="32"/>
          <w:szCs w:val="32"/>
          <w:shd w:val="clear" w:color="auto" w:fill="FFFFFF"/>
          <w:lang w:val="zh-CN"/>
        </w:rPr>
        <w:t>①工作任务完成时间节点指标值为年度内完成，实际已完成，完成率100%。②资金使用进度指标值为按实际工作开展进度，实际已完成，完成率100%。</w:t>
      </w:r>
    </w:p>
    <w:p>
      <w:pPr>
        <w:widowControl/>
        <w:spacing w:line="560" w:lineRule="exact"/>
        <w:ind w:firstLine="643" w:firstLineChars="200"/>
        <w:jc w:val="left"/>
        <w:rPr>
          <w:rFonts w:hint="eastAsia" w:ascii="仿宋_GB2312" w:hAnsi="宋体" w:eastAsia="仿宋_GB2312" w:cs="宋体"/>
          <w:kern w:val="0"/>
          <w:sz w:val="32"/>
          <w:szCs w:val="32"/>
          <w:shd w:val="clear" w:color="auto" w:fill="FFFFFF"/>
          <w:lang w:val="zh-CN"/>
        </w:rPr>
      </w:pPr>
      <w:r>
        <w:rPr>
          <w:rFonts w:hint="eastAsia" w:ascii="仿宋_GB2312" w:hAnsi="微软雅黑" w:eastAsia="仿宋_GB2312" w:cs="宋体"/>
          <w:b/>
          <w:bCs/>
          <w:color w:val="333333"/>
          <w:kern w:val="0"/>
          <w:sz w:val="32"/>
        </w:rPr>
        <w:t>成本指标：</w:t>
      </w:r>
      <w:r>
        <w:rPr>
          <w:rFonts w:hint="eastAsia" w:ascii="仿宋_GB2312" w:hAnsi="宋体" w:eastAsia="仿宋_GB2312" w:cs="宋体"/>
          <w:kern w:val="0"/>
          <w:sz w:val="32"/>
          <w:szCs w:val="32"/>
          <w:shd w:val="clear" w:color="auto" w:fill="FFFFFF"/>
          <w:lang w:val="zh-CN"/>
        </w:rPr>
        <w:t>支出控制率（实际财政支出/计划财政支出）指标值为预期目标任务范围内≤100%，实际已完成，完成率100%。</w:t>
      </w:r>
    </w:p>
    <w:p>
      <w:pPr>
        <w:widowControl/>
        <w:spacing w:line="560" w:lineRule="exact"/>
        <w:ind w:firstLine="643"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b/>
          <w:bCs/>
          <w:color w:val="333333"/>
          <w:kern w:val="0"/>
          <w:sz w:val="32"/>
        </w:rPr>
        <w:t>（3）效益指标完成情况分析。</w:t>
      </w:r>
      <w:r>
        <w:rPr>
          <w:rFonts w:hint="eastAsia" w:ascii="仿宋_GB2312" w:hAnsi="微软雅黑" w:eastAsia="仿宋_GB2312" w:cs="宋体"/>
          <w:color w:val="333333"/>
          <w:kern w:val="0"/>
          <w:sz w:val="32"/>
          <w:szCs w:val="32"/>
        </w:rPr>
        <w:t>包括经济效益、社会效益、生态效益和可持续影响。</w:t>
      </w:r>
    </w:p>
    <w:p>
      <w:pPr>
        <w:widowControl/>
        <w:spacing w:line="560" w:lineRule="exact"/>
        <w:ind w:firstLine="643"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b/>
          <w:bCs/>
          <w:color w:val="333333"/>
          <w:kern w:val="0"/>
          <w:sz w:val="32"/>
        </w:rPr>
        <w:t>经济效益：</w:t>
      </w:r>
      <w:r>
        <w:rPr>
          <w:rFonts w:hint="eastAsia" w:ascii="仿宋_GB2312" w:hAnsi="微软雅黑" w:eastAsia="仿宋_GB2312" w:cs="宋体"/>
          <w:color w:val="333333"/>
          <w:kern w:val="0"/>
          <w:sz w:val="32"/>
          <w:szCs w:val="32"/>
        </w:rPr>
        <w:t>优化办事流程实现</w:t>
      </w:r>
      <w:r>
        <w:rPr>
          <w:rFonts w:hint="eastAsia" w:ascii="微软雅黑" w:hAnsi="微软雅黑" w:eastAsia="微软雅黑" w:cs="宋体"/>
          <w:color w:val="333333"/>
          <w:kern w:val="0"/>
          <w:sz w:val="32"/>
          <w:szCs w:val="32"/>
        </w:rPr>
        <w:t>“</w:t>
      </w:r>
      <w:r>
        <w:rPr>
          <w:rFonts w:hint="eastAsia" w:ascii="仿宋_GB2312" w:hAnsi="微软雅黑" w:eastAsia="仿宋_GB2312" w:cs="宋体"/>
          <w:color w:val="333333"/>
          <w:kern w:val="0"/>
          <w:sz w:val="32"/>
          <w:szCs w:val="32"/>
        </w:rPr>
        <w:t>最多跑一次</w:t>
      </w:r>
      <w:r>
        <w:rPr>
          <w:rFonts w:hint="eastAsia" w:ascii="微软雅黑" w:hAnsi="微软雅黑" w:eastAsia="微软雅黑" w:cs="宋体"/>
          <w:color w:val="333333"/>
          <w:kern w:val="0"/>
          <w:sz w:val="32"/>
          <w:szCs w:val="32"/>
        </w:rPr>
        <w:t>”</w:t>
      </w:r>
      <w:r>
        <w:rPr>
          <w:rFonts w:hint="eastAsia" w:ascii="仿宋_GB2312" w:hAnsi="微软雅黑" w:eastAsia="仿宋_GB2312" w:cs="宋体"/>
          <w:color w:val="333333"/>
          <w:kern w:val="0"/>
          <w:sz w:val="32"/>
          <w:szCs w:val="32"/>
        </w:rPr>
        <w:t>改革，提升优化营商环境能力。</w:t>
      </w:r>
    </w:p>
    <w:p>
      <w:pPr>
        <w:widowControl/>
        <w:spacing w:line="560" w:lineRule="exact"/>
        <w:ind w:firstLine="643" w:firstLineChars="200"/>
        <w:jc w:val="left"/>
        <w:rPr>
          <w:rFonts w:hint="eastAsia" w:ascii="仿宋_GB2312" w:hAnsi="宋体" w:eastAsia="仿宋_GB2312" w:cs="宋体"/>
          <w:kern w:val="0"/>
          <w:sz w:val="32"/>
          <w:szCs w:val="32"/>
          <w:shd w:val="clear" w:color="auto" w:fill="FFFFFF"/>
          <w:lang w:val="zh-CN"/>
        </w:rPr>
      </w:pPr>
      <w:r>
        <w:rPr>
          <w:rFonts w:hint="eastAsia" w:ascii="仿宋_GB2312" w:hAnsi="微软雅黑" w:eastAsia="仿宋_GB2312" w:cs="宋体"/>
          <w:b/>
          <w:bCs/>
          <w:color w:val="333333"/>
          <w:kern w:val="0"/>
          <w:sz w:val="32"/>
        </w:rPr>
        <w:t>社会效益：</w:t>
      </w:r>
      <w:r>
        <w:rPr>
          <w:rFonts w:hint="eastAsia" w:ascii="仿宋_GB2312" w:hAnsi="宋体" w:eastAsia="仿宋_GB2312" w:cs="宋体"/>
          <w:kern w:val="0"/>
          <w:sz w:val="32"/>
          <w:szCs w:val="32"/>
          <w:shd w:val="clear" w:color="auto" w:fill="FFFFFF"/>
          <w:lang w:val="zh-CN"/>
        </w:rPr>
        <w:t>在市、县、乡三级政务服务机构共设立55个“办不成事”受理窗口，今年以来，全市“办不成事”受理窗口共受理解决各类“办不成”的事127件。截至目前，全市共计229项政务服务事项实现“省内通办”，210项政务服务事项实现“川渝通办”，148项政务服务事项实现“跨省通办”。 推动实现政务服务由“群众跑”向“部门跑”转变。今年以来，共为特殊群体办事群众提供上门帮办代办服务7000余件次。</w:t>
      </w:r>
    </w:p>
    <w:p>
      <w:pPr>
        <w:widowControl/>
        <w:spacing w:line="560" w:lineRule="exact"/>
        <w:ind w:firstLine="643"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b/>
          <w:bCs/>
          <w:color w:val="333333"/>
          <w:kern w:val="0"/>
          <w:sz w:val="32"/>
        </w:rPr>
        <w:t>生态效益</w:t>
      </w:r>
      <w:r>
        <w:rPr>
          <w:rFonts w:hint="eastAsia" w:ascii="仿宋_GB2312" w:hAnsi="微软雅黑" w:eastAsia="仿宋_GB2312" w:cs="宋体"/>
          <w:color w:val="333333"/>
          <w:kern w:val="0"/>
          <w:sz w:val="32"/>
          <w:szCs w:val="32"/>
        </w:rPr>
        <w:t>：</w:t>
      </w:r>
      <w:r>
        <w:rPr>
          <w:rFonts w:hint="eastAsia" w:ascii="仿宋_GB2312" w:hAnsi="宋体" w:eastAsia="仿宋_GB2312" w:cs="宋体"/>
          <w:kern w:val="0"/>
          <w:sz w:val="32"/>
          <w:szCs w:val="32"/>
          <w:shd w:val="clear" w:color="auto" w:fill="FFFFFF"/>
          <w:lang w:val="zh-CN"/>
        </w:rPr>
        <w:t>改善群众办事环境指标值为有所改善，实际有所改善，完成率100%。</w:t>
      </w:r>
    </w:p>
    <w:p>
      <w:pPr>
        <w:widowControl/>
        <w:spacing w:line="560" w:lineRule="exact"/>
        <w:ind w:firstLine="643" w:firstLineChars="200"/>
        <w:jc w:val="left"/>
        <w:rPr>
          <w:rFonts w:hint="eastAsia" w:ascii="仿宋_GB2312" w:hAnsi="宋体" w:eastAsia="仿宋_GB2312" w:cs="宋体"/>
          <w:kern w:val="0"/>
          <w:sz w:val="32"/>
          <w:szCs w:val="32"/>
          <w:shd w:val="clear" w:color="auto" w:fill="FFFFFF"/>
          <w:lang w:val="zh-CN"/>
        </w:rPr>
      </w:pPr>
      <w:r>
        <w:rPr>
          <w:rFonts w:hint="eastAsia" w:ascii="仿宋_GB2312" w:hAnsi="微软雅黑" w:eastAsia="仿宋_GB2312" w:cs="宋体"/>
          <w:b/>
          <w:bCs/>
          <w:color w:val="333333"/>
          <w:kern w:val="0"/>
          <w:sz w:val="32"/>
        </w:rPr>
        <w:t>可持续影响：</w:t>
      </w:r>
      <w:r>
        <w:rPr>
          <w:rFonts w:hint="eastAsia" w:ascii="仿宋_GB2312" w:hAnsi="宋体" w:eastAsia="仿宋_GB2312" w:cs="宋体"/>
          <w:kern w:val="0"/>
          <w:sz w:val="32"/>
          <w:szCs w:val="32"/>
          <w:shd w:val="clear" w:color="auto" w:fill="FFFFFF"/>
          <w:lang w:val="zh-CN"/>
        </w:rPr>
        <w:t>①持续优化创新创业发展环境。以机制改革激发创新活力，将人才的市场价值、经济贡献作为主要评价标准，探索建立经济贡献与奖励补贴挂钩的长效激励机制，发放人才奖补5000余万元。以要素保障加速成果转换，鼓励金融机构提供人贷、创业险等金融服务，为科技型企业提供100余亿元授信支撑。以优质服务增强人才黏性，拓展“攀枝花英才卡”15项服务内容，设立“人才服务专窗”“攀枝花人才码”，建成人才公寓418套，为300余名高层次人才提供父母养老、子女就学、配偶就业等服务。②持续压降企业生产经营成本。全面落实“七不准、四公开”、小微企业“两禁两限”等规定，清理不必要“通道”“过桥”环节，缩短融资链条，精简服务收费项目。今年1-11月，全市法人机构申报普惠小微企业信用贷款支持工具104.5万元，有效引导和支持其发放普惠小微信用贷款1.76亿元；银行机构累计发放普惠小微信用贷款25.47亿元，占同期普惠小微贷款发放额的61.08%，普惠小微贷款余额59.66亿元，普惠小微户数17579户。持续加强天府信用通平台推广应用，通过召开金融机构主要负责人会议、年度征信工作会议等形式加大通报和督导，积极引导企业上平台注册和发布融资需求，指导金融机构开展信用信息查询和线上融资对接，改善用信、守信融资体验。截至目前，平台备案金融产品285项，已注册企业和个人用户4933户，平台实现签约1254笔，签约金额157.69亿元，贷款加权平均利率5.79%，惠及827户企业。③持续深化商事制度改革。持续推进“证照分离”“多证合一”改革，将226项企业登记前置审批中的191项改为后置审批或直接取消，1-11月，共办理“证照分离”登记业务256件，设立登记171件，变更登记992件，备案登记74件，注销登记129件，惠及企业2462家，企业开办全流程办理时限压缩至1个工作日。持续优化市场准入“自公告”预服务，搭建了线上运行的微信小程序，建立市场主体服务需求精准收集快速响应机制，将证照办理由窗口受理、审核阶段向企业群众申请准备阶段拓展，变“坐等上门申请审批”为“主动对接提供个性化服务”，推动市场监管领域23大类218项行政审批事项全面实现“自公告”预服务。④持续推进简政放权。一是优化办税服务。在全省率先探索推行全市统一的税费服务支持中心，建成全省唯一市州局智能办税服务厅，为纳税人提供一站式在线咨询、热线接听、办税辅导、消息推送等服务。二是优化工程项目审批。将工程项目审批事项由原来的87项压减至65项，审批时限由原来的300多天压缩至90天以内。将人防、消防、技术性审查统一纳入到施工图审查环节，联合审图率达100%。三是优化不动产登记服务。推行“市县联动、全城通办、就近登记”新模式，实现二手房转移登记1个工作日办结、企业间办理非住宅的转移和抵押登记0.5个工作日办结，注销和查封登记现场办结，其他一般登记、抵押登记业务3个工作日办结。四是深入开展“放管服”改革向基层延伸专项行动。扎实推进镇村便民服务体系“三化”，全面完成米易县白马镇、攀莲镇两个省级试点验收申报工作。</w:t>
      </w:r>
    </w:p>
    <w:p>
      <w:pPr>
        <w:widowControl/>
        <w:spacing w:line="560" w:lineRule="exact"/>
        <w:ind w:firstLine="643" w:firstLineChars="200"/>
        <w:jc w:val="left"/>
        <w:rPr>
          <w:rFonts w:ascii="仿宋_GB2312" w:hAnsi="微软雅黑" w:eastAsia="仿宋_GB2312" w:cs="宋体"/>
          <w:b/>
          <w:color w:val="333333"/>
          <w:kern w:val="0"/>
          <w:sz w:val="23"/>
          <w:szCs w:val="23"/>
        </w:rPr>
      </w:pPr>
      <w:r>
        <w:rPr>
          <w:rFonts w:hint="eastAsia" w:ascii="仿宋_GB2312" w:hAnsi="微软雅黑" w:eastAsia="仿宋_GB2312" w:cs="宋体"/>
          <w:b/>
          <w:color w:val="333333"/>
          <w:kern w:val="0"/>
          <w:sz w:val="32"/>
          <w:szCs w:val="32"/>
        </w:rPr>
        <w:t>（4）满意度指标完成情况分析。</w:t>
      </w:r>
    </w:p>
    <w:p>
      <w:pPr>
        <w:widowControl/>
        <w:spacing w:line="560" w:lineRule="exact"/>
        <w:ind w:firstLine="640" w:firstLineChars="200"/>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满意度指值标为服务对象满意度达到80%，实际完成数为80%以上，完成率100%。</w:t>
      </w:r>
    </w:p>
    <w:p>
      <w:pPr>
        <w:pStyle w:val="5"/>
        <w:spacing w:before="93"/>
        <w:ind w:firstLine="643" w:firstLineChars="200"/>
        <w:rPr>
          <w:rFonts w:hint="eastAsia" w:hAnsi="宋体" w:cs="宋体"/>
          <w:b/>
          <w:bCs/>
          <w:sz w:val="32"/>
          <w:szCs w:val="32"/>
          <w:shd w:val="clear" w:color="auto" w:fill="FFFFFF"/>
          <w:lang w:val="zh-CN"/>
        </w:rPr>
      </w:pPr>
      <w:r>
        <w:rPr>
          <w:rFonts w:hint="eastAsia" w:hAnsi="宋体" w:cs="宋体"/>
          <w:b/>
          <w:bCs/>
          <w:sz w:val="32"/>
          <w:szCs w:val="32"/>
          <w:shd w:val="clear" w:color="auto" w:fill="FFFFFF"/>
          <w:lang w:val="zh-CN"/>
        </w:rPr>
        <w:t>（二）市级专项（项目）资金绩效目标完成情况</w:t>
      </w:r>
    </w:p>
    <w:p>
      <w:pPr>
        <w:widowControl/>
        <w:spacing w:line="560" w:lineRule="exact"/>
        <w:ind w:firstLine="643" w:firstLineChars="200"/>
        <w:jc w:val="left"/>
        <w:rPr>
          <w:rFonts w:ascii="仿宋_GB2312" w:hAnsi="微软雅黑" w:eastAsia="仿宋_GB2312" w:cs="宋体"/>
          <w:b/>
          <w:color w:val="333333"/>
          <w:kern w:val="0"/>
          <w:sz w:val="23"/>
          <w:szCs w:val="23"/>
        </w:rPr>
      </w:pPr>
      <w:r>
        <w:rPr>
          <w:rFonts w:hint="eastAsia" w:ascii="仿宋_GB2312" w:hAnsi="微软雅黑" w:eastAsia="仿宋_GB2312" w:cs="宋体"/>
          <w:b/>
          <w:color w:val="333333"/>
          <w:kern w:val="0"/>
          <w:sz w:val="32"/>
          <w:szCs w:val="32"/>
        </w:rPr>
        <w:t>项目一：业务运行费</w:t>
      </w:r>
    </w:p>
    <w:p>
      <w:pPr>
        <w:widowControl/>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1.产出指标完成情况分析。包括数量指标、质量指标、时效指标和成本指标。</w:t>
      </w:r>
    </w:p>
    <w:p>
      <w:pPr>
        <w:widowControl/>
        <w:spacing w:line="560" w:lineRule="exact"/>
        <w:ind w:firstLine="640" w:firstLineChars="200"/>
        <w:jc w:val="left"/>
        <w:rPr>
          <w:rFonts w:hint="default" w:ascii="仿宋_GB2312" w:hAnsi="宋体" w:eastAsia="仿宋_GB2312" w:cs="宋体"/>
          <w:kern w:val="0"/>
          <w:sz w:val="32"/>
          <w:szCs w:val="32"/>
          <w:shd w:val="clear" w:color="auto" w:fill="FFFFFF"/>
          <w:lang w:val="en-US" w:eastAsia="zh-CN"/>
        </w:rPr>
      </w:pPr>
      <w:r>
        <w:rPr>
          <w:rFonts w:hint="eastAsia" w:ascii="仿宋_GB2312" w:hAnsi="微软雅黑" w:eastAsia="仿宋_GB2312" w:cs="宋体"/>
          <w:color w:val="333333"/>
          <w:kern w:val="0"/>
          <w:sz w:val="32"/>
          <w:szCs w:val="32"/>
        </w:rPr>
        <w:t>（1）</w:t>
      </w:r>
      <w:r>
        <w:rPr>
          <w:rFonts w:hint="eastAsia" w:ascii="仿宋_GB2312" w:hAnsi="宋体" w:eastAsia="仿宋_GB2312" w:cs="宋体"/>
          <w:kern w:val="0"/>
          <w:sz w:val="32"/>
          <w:szCs w:val="32"/>
          <w:shd w:val="clear" w:color="auto" w:fill="FFFFFF"/>
          <w:lang w:val="zh-CN"/>
        </w:rPr>
        <w:t>数量指标：一是实现全市10627项政务服务事项办理全流程“最多跑一次”</w:t>
      </w:r>
      <w:r>
        <w:rPr>
          <w:rFonts w:hint="eastAsia" w:ascii="仿宋_GB2312" w:hAnsi="宋体" w:eastAsia="仿宋_GB2312" w:cs="宋体"/>
          <w:kern w:val="0"/>
          <w:sz w:val="32"/>
          <w:szCs w:val="32"/>
          <w:shd w:val="clear" w:color="auto" w:fill="FFFFFF"/>
          <w:lang w:val="zh-CN" w:eastAsia="zh-CN"/>
        </w:rPr>
        <w:t>；</w:t>
      </w:r>
      <w:r>
        <w:rPr>
          <w:rFonts w:hint="eastAsia" w:ascii="仿宋_GB2312" w:hAnsi="宋体" w:eastAsia="仿宋_GB2312" w:cs="宋体"/>
          <w:kern w:val="0"/>
          <w:sz w:val="32"/>
          <w:szCs w:val="32"/>
          <w:shd w:val="clear" w:color="auto" w:fill="FFFFFF"/>
          <w:lang w:val="zh-CN"/>
        </w:rPr>
        <w:t>二是政务服务事项</w:t>
      </w:r>
      <w:r>
        <w:rPr>
          <w:rFonts w:hint="eastAsia" w:ascii="仿宋_GB2312" w:hAnsi="宋体" w:eastAsia="仿宋_GB2312" w:cs="宋体"/>
          <w:kern w:val="0"/>
          <w:sz w:val="32"/>
          <w:szCs w:val="32"/>
          <w:shd w:val="clear" w:color="auto" w:fill="FFFFFF"/>
          <w:lang w:val="en-US" w:eastAsia="zh-CN"/>
        </w:rPr>
        <w:t>10624项</w:t>
      </w:r>
      <w:r>
        <w:rPr>
          <w:rFonts w:hint="eastAsia" w:ascii="仿宋_GB2312" w:hAnsi="宋体" w:eastAsia="仿宋_GB2312" w:cs="宋体"/>
          <w:kern w:val="0"/>
          <w:sz w:val="32"/>
          <w:szCs w:val="32"/>
          <w:shd w:val="clear" w:color="auto" w:fill="FFFFFF"/>
          <w:lang w:val="zh-CN"/>
        </w:rPr>
        <w:t>实现网上可办</w:t>
      </w:r>
      <w:r>
        <w:rPr>
          <w:rFonts w:hint="eastAsia" w:ascii="仿宋_GB2312" w:hAnsi="宋体" w:eastAsia="仿宋_GB2312" w:cs="宋体"/>
          <w:kern w:val="0"/>
          <w:sz w:val="32"/>
          <w:szCs w:val="32"/>
          <w:shd w:val="clear" w:color="auto" w:fill="FFFFFF"/>
          <w:lang w:val="zh-CN" w:eastAsia="zh-CN"/>
        </w:rPr>
        <w:t>；</w:t>
      </w:r>
      <w:r>
        <w:rPr>
          <w:rFonts w:hint="eastAsia" w:ascii="仿宋_GB2312" w:hAnsi="宋体" w:eastAsia="仿宋_GB2312" w:cs="宋体"/>
          <w:kern w:val="0"/>
          <w:sz w:val="32"/>
          <w:szCs w:val="32"/>
          <w:shd w:val="clear" w:color="auto" w:fill="FFFFFF"/>
          <w:lang w:val="zh-CN"/>
        </w:rPr>
        <w:t>三是全市共计229项政务服务事项实现“省内通办”，210项政务服务事项实现“川渝通办”，148项政务服务事项实现“跨省通办”</w:t>
      </w:r>
      <w:r>
        <w:rPr>
          <w:rFonts w:hint="eastAsia" w:ascii="仿宋_GB2312" w:hAnsi="宋体" w:eastAsia="仿宋_GB2312" w:cs="宋体"/>
          <w:kern w:val="0"/>
          <w:sz w:val="32"/>
          <w:szCs w:val="32"/>
          <w:shd w:val="clear" w:color="auto" w:fill="FFFFFF"/>
          <w:lang w:val="zh-CN" w:eastAsia="zh-CN"/>
        </w:rPr>
        <w:t>；</w:t>
      </w:r>
      <w:r>
        <w:rPr>
          <w:rFonts w:hint="eastAsia" w:ascii="仿宋_GB2312" w:hAnsi="宋体" w:eastAsia="仿宋_GB2312" w:cs="宋体"/>
          <w:kern w:val="0"/>
          <w:sz w:val="32"/>
          <w:szCs w:val="32"/>
          <w:shd w:val="clear" w:color="auto" w:fill="FFFFFF"/>
          <w:lang w:val="en-US" w:eastAsia="zh-CN"/>
        </w:rPr>
        <w:t>四是</w:t>
      </w:r>
      <w:r>
        <w:rPr>
          <w:rFonts w:hint="eastAsia" w:ascii="仿宋_GB2312" w:hAnsi="宋体" w:eastAsia="仿宋_GB2312" w:cs="宋体"/>
          <w:kern w:val="0"/>
          <w:sz w:val="32"/>
          <w:szCs w:val="32"/>
          <w:shd w:val="clear" w:color="auto" w:fill="FFFFFF"/>
          <w:lang w:val="zh-CN"/>
        </w:rPr>
        <w:t>优化工程项目审批，将工程项目审批事项由原来的87项压减至65项，审批时限由原来的300多天压缩至90天以内。将人防、消防、技术性审查统一纳入到施工图审查环节，联合审图率达100%。</w:t>
      </w:r>
    </w:p>
    <w:p>
      <w:pPr>
        <w:widowControl/>
        <w:spacing w:line="560" w:lineRule="exact"/>
        <w:ind w:firstLine="640" w:firstLineChars="200"/>
        <w:jc w:val="left"/>
        <w:rPr>
          <w:rFonts w:hint="eastAsia" w:ascii="宋体" w:hAnsi="宋体" w:cs="宋体"/>
          <w:sz w:val="24"/>
        </w:rPr>
      </w:pPr>
      <w:r>
        <w:rPr>
          <w:rFonts w:hint="eastAsia" w:ascii="仿宋_GB2312" w:hAnsi="微软雅黑" w:eastAsia="仿宋_GB2312" w:cs="宋体"/>
          <w:color w:val="333333"/>
          <w:kern w:val="0"/>
          <w:sz w:val="32"/>
          <w:szCs w:val="32"/>
        </w:rPr>
        <w:t>（2）质量指标：按照市委、市政府“建一流政务服务中心”的建设总要求，结合“放管服”改革和政府职能转变的发展走势，新中心将在原进驻内容的基础上，依照“四个有机结合”的入驻基本原则，新增与中心办理事项密切的办理环节，增补与法人、自然人及其他社会组织密切相关的公共服务事项和行权事项，扩充网上服务、自助服务、智能办公等“互联网+政务服务”内容，为广大市民和企业营造高效、规范、便捷的政务服务环境。</w:t>
      </w:r>
    </w:p>
    <w:p>
      <w:pPr>
        <w:widowControl/>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（3）时效指标：</w:t>
      </w:r>
      <w:r>
        <w:rPr>
          <w:rFonts w:eastAsia="微软雅黑"/>
          <w:color w:val="333333"/>
          <w:kern w:val="0"/>
          <w:sz w:val="32"/>
          <w:szCs w:val="32"/>
        </w:rPr>
        <w:t>2021</w:t>
      </w:r>
      <w:r>
        <w:rPr>
          <w:rFonts w:hint="eastAsia" w:ascii="仿宋_GB2312" w:hAnsi="微软雅黑" w:eastAsia="仿宋_GB2312" w:cs="宋体"/>
          <w:color w:val="333333"/>
          <w:kern w:val="0"/>
          <w:sz w:val="32"/>
          <w:szCs w:val="32"/>
        </w:rPr>
        <w:t>年全年预算执行率</w:t>
      </w:r>
      <w:r>
        <w:rPr>
          <w:rFonts w:eastAsia="微软雅黑"/>
          <w:color w:val="333333"/>
          <w:kern w:val="0"/>
          <w:sz w:val="32"/>
          <w:szCs w:val="32"/>
        </w:rPr>
        <w:t>100%</w:t>
      </w:r>
      <w:r>
        <w:rPr>
          <w:rFonts w:hint="eastAsia" w:ascii="仿宋_GB2312" w:hAnsi="微软雅黑" w:eastAsia="仿宋_GB2312" w:cs="宋体"/>
          <w:color w:val="333333"/>
          <w:kern w:val="0"/>
          <w:sz w:val="32"/>
          <w:szCs w:val="32"/>
        </w:rPr>
        <w:t>。</w:t>
      </w:r>
    </w:p>
    <w:p>
      <w:pPr>
        <w:widowControl/>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2.效益指标完成情况分析。包括经济效益、社会效益、生态效益和可持续影响。</w:t>
      </w:r>
    </w:p>
    <w:p>
      <w:pPr>
        <w:widowControl/>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（1）经济效益指标：优化办事流程实现“最多跑一次”改革，提升优化营商环境能力。</w:t>
      </w:r>
    </w:p>
    <w:p>
      <w:pPr>
        <w:widowControl/>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（2）社会效益指标：</w:t>
      </w:r>
      <w:r>
        <w:rPr>
          <w:rFonts w:hint="eastAsia" w:ascii="仿宋_GB2312" w:hAnsi="微软雅黑" w:eastAsia="仿宋_GB2312" w:cs="宋体"/>
          <w:color w:val="333333"/>
          <w:kern w:val="0"/>
          <w:sz w:val="32"/>
          <w:szCs w:val="32"/>
          <w:lang w:val="en-US" w:eastAsia="zh-CN"/>
        </w:rPr>
        <w:t>提高群众办事满意率</w:t>
      </w:r>
      <w:r>
        <w:rPr>
          <w:rFonts w:hint="eastAsia" w:ascii="仿宋_GB2312" w:hAnsi="微软雅黑" w:eastAsia="仿宋_GB2312" w:cs="宋体"/>
          <w:color w:val="333333"/>
          <w:kern w:val="0"/>
          <w:sz w:val="32"/>
          <w:szCs w:val="32"/>
        </w:rPr>
        <w:t>。</w:t>
      </w:r>
    </w:p>
    <w:p>
      <w:pPr>
        <w:widowControl/>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3.满意度指标完成情况分析。</w:t>
      </w:r>
    </w:p>
    <w:p>
      <w:pPr>
        <w:widowControl/>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服务对象满意度指标：认可度达到</w:t>
      </w:r>
      <w:r>
        <w:rPr>
          <w:rFonts w:hint="eastAsia" w:eastAsia="微软雅黑"/>
          <w:color w:val="333333"/>
          <w:kern w:val="0"/>
          <w:sz w:val="32"/>
          <w:szCs w:val="32"/>
          <w:lang w:val="en-US" w:eastAsia="zh-CN"/>
        </w:rPr>
        <w:t>96</w:t>
      </w:r>
      <w:r>
        <w:rPr>
          <w:rFonts w:eastAsia="微软雅黑"/>
          <w:color w:val="333333"/>
          <w:kern w:val="0"/>
          <w:sz w:val="32"/>
          <w:szCs w:val="32"/>
        </w:rPr>
        <w:t>%</w:t>
      </w:r>
      <w:r>
        <w:rPr>
          <w:rFonts w:hint="eastAsia" w:ascii="仿宋_GB2312" w:hAnsi="微软雅黑" w:eastAsia="仿宋_GB2312" w:cs="宋体"/>
          <w:color w:val="333333"/>
          <w:kern w:val="0"/>
          <w:sz w:val="32"/>
          <w:szCs w:val="32"/>
        </w:rPr>
        <w:t>。</w:t>
      </w:r>
    </w:p>
    <w:p>
      <w:pPr>
        <w:widowControl/>
        <w:spacing w:line="560" w:lineRule="exact"/>
        <w:ind w:firstLine="643" w:firstLineChars="200"/>
        <w:jc w:val="left"/>
        <w:rPr>
          <w:rFonts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（三）自评结论</w:t>
      </w:r>
    </w:p>
    <w:p>
      <w:pPr>
        <w:widowControl/>
        <w:spacing w:line="560" w:lineRule="exact"/>
        <w:ind w:firstLine="640" w:firstLineChars="200"/>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w:t>
      </w:r>
      <w:r>
        <w:rPr>
          <w:rFonts w:hint="eastAsia" w:ascii="仿宋_GB2312" w:hAnsi="微软雅黑" w:eastAsia="仿宋_GB2312" w:cs="宋体"/>
          <w:color w:val="333333"/>
          <w:kern w:val="0"/>
          <w:sz w:val="32"/>
          <w:szCs w:val="32"/>
        </w:rPr>
        <w:t>预算管理：</w:t>
      </w:r>
    </w:p>
    <w:p>
      <w:pPr>
        <w:widowControl/>
        <w:spacing w:line="560" w:lineRule="exac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w:t>
      </w:r>
      <w:r>
        <w:rPr>
          <w:rFonts w:hint="eastAsia" w:ascii="仿宋_GB2312" w:hAnsi="微软雅黑" w:eastAsia="仿宋_GB2312" w:cs="宋体"/>
          <w:color w:val="333333"/>
          <w:kern w:val="0"/>
          <w:sz w:val="32"/>
          <w:szCs w:val="32"/>
        </w:rPr>
        <w:t>管理制度健全。2021</w:t>
      </w:r>
      <w:r>
        <w:rPr>
          <w:rFonts w:hint="eastAsia" w:ascii="仿宋_GB2312" w:hAnsi="微软雅黑" w:eastAsia="仿宋_GB2312" w:cs="宋体"/>
          <w:color w:val="333333"/>
          <w:kern w:val="0"/>
          <w:sz w:val="32"/>
          <w:szCs w:val="32"/>
        </w:rPr>
        <w:t>年我局完善了内部管理制度，在费用的审批支出和报销流程的管理上加强了管理，使资金的支出更严格；制定了财务职责，制定了厉行节约制度，管理制度依照相关法律法规而制定，具有合法性、合规性、完整性；相关制度得到认真执行；</w:t>
      </w:r>
    </w:p>
    <w:p>
      <w:pPr>
        <w:widowControl/>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2）资金使用合规性，一切支出按照国家财经法规和财务管理制度规定以及专项资金管理办法办理，财务人员认真审核每笔业务的合规性、手续完整性和资料的准确性。健全会计核算，按照国家统一会计制度的规定设置会计账簿，依照规定进行会计处理，保证会计指标的口径一致。资金拨付有完善的审批程序和手续，支出符合部门预算批复的用途，资金使用无截留、挤占挪用、虚列支出等情况。</w:t>
      </w:r>
    </w:p>
    <w:p>
      <w:pPr>
        <w:widowControl/>
        <w:spacing w:line="560" w:lineRule="exact"/>
        <w:ind w:firstLine="640" w:firstLineChars="200"/>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w:t>
      </w:r>
      <w:r>
        <w:rPr>
          <w:rFonts w:hint="eastAsia" w:ascii="仿宋_GB2312" w:hAnsi="微软雅黑" w:eastAsia="仿宋_GB2312" w:cs="宋体"/>
          <w:color w:val="333333"/>
          <w:kern w:val="0"/>
          <w:sz w:val="32"/>
          <w:szCs w:val="32"/>
        </w:rPr>
        <w:t>履职效益：</w:t>
      </w:r>
    </w:p>
    <w:p>
      <w:pPr>
        <w:widowControl/>
        <w:spacing w:line="560" w:lineRule="exact"/>
        <w:ind w:firstLine="640" w:firstLineChars="200"/>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w:t>
      </w:r>
      <w:r>
        <w:rPr>
          <w:rFonts w:hint="eastAsia" w:ascii="仿宋_GB2312" w:hAnsi="微软雅黑" w:eastAsia="仿宋_GB2312" w:cs="宋体"/>
          <w:color w:val="333333"/>
          <w:kern w:val="0"/>
          <w:sz w:val="32"/>
          <w:szCs w:val="32"/>
        </w:rPr>
        <w:t>行政效能。我局高度重视行政效能建设，深入贯彻“</w:t>
      </w:r>
      <w:r>
        <w:rPr>
          <w:rFonts w:hint="eastAsia" w:ascii="仿宋_GB2312" w:hAnsi="微软雅黑" w:eastAsia="仿宋_GB2312" w:cs="宋体"/>
          <w:color w:val="333333"/>
          <w:kern w:val="0"/>
          <w:sz w:val="32"/>
          <w:szCs w:val="32"/>
        </w:rPr>
        <w:t>放管服”</w:t>
      </w:r>
      <w:r>
        <w:rPr>
          <w:rFonts w:hint="eastAsia"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最多跑一次”</w:t>
      </w:r>
      <w:r>
        <w:rPr>
          <w:rFonts w:hint="eastAsia"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一窗、一门、一网通办”</w:t>
      </w:r>
      <w:r>
        <w:rPr>
          <w:rFonts w:hint="eastAsia" w:ascii="仿宋_GB2312" w:hAnsi="微软雅黑" w:eastAsia="仿宋_GB2312" w:cs="宋体"/>
          <w:color w:val="333333"/>
          <w:kern w:val="0"/>
          <w:sz w:val="32"/>
          <w:szCs w:val="32"/>
        </w:rPr>
        <w:t xml:space="preserve">，认真落实政策，制定改革方案，明确工作职责。推进政务服务公开，提升人民群众满意度；明确相关科室职责，端正工作态度，转变机关作风；认真履行工作职责，进一步增强责任和服务意识。加强经费及资产管理；充分降低行政运行成本。         </w:t>
      </w:r>
    </w:p>
    <w:p>
      <w:pPr>
        <w:widowControl/>
        <w:spacing w:line="560" w:lineRule="exact"/>
        <w:ind w:firstLine="640" w:firstLineChars="200"/>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w:t>
      </w:r>
      <w:r>
        <w:rPr>
          <w:rFonts w:hint="eastAsia" w:ascii="仿宋_GB2312" w:hAnsi="微软雅黑" w:eastAsia="仿宋_GB2312" w:cs="宋体"/>
          <w:color w:val="333333"/>
          <w:kern w:val="0"/>
          <w:sz w:val="32"/>
          <w:szCs w:val="32"/>
        </w:rPr>
        <w:t>社会公众或服务对象满意度。通过提升服务质量，强化服务意识，工作人员对待办事群众态度热情，工作积极性高，广大群众和服务对象满意度高，满意率为99.86%</w:t>
      </w:r>
      <w:r>
        <w:rPr>
          <w:rFonts w:hint="eastAsia" w:ascii="仿宋_GB2312" w:hAnsi="微软雅黑" w:eastAsia="仿宋_GB2312" w:cs="宋体"/>
          <w:color w:val="333333"/>
          <w:kern w:val="0"/>
          <w:sz w:val="32"/>
          <w:szCs w:val="32"/>
        </w:rPr>
        <w:t>。</w:t>
      </w:r>
    </w:p>
    <w:p>
      <w:pPr>
        <w:widowControl/>
        <w:spacing w:line="560" w:lineRule="exact"/>
        <w:ind w:firstLine="640" w:firstLineChars="200"/>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综合以上各项指标，财务管理健全规范，没有发生违法违规情况，我局2021</w:t>
      </w:r>
      <w:r>
        <w:rPr>
          <w:rFonts w:hint="eastAsia" w:ascii="仿宋_GB2312" w:hAnsi="微软雅黑" w:eastAsia="仿宋_GB2312" w:cs="宋体"/>
          <w:color w:val="333333"/>
          <w:kern w:val="0"/>
          <w:sz w:val="32"/>
          <w:szCs w:val="32"/>
        </w:rPr>
        <w:t>年部门整体支出绩效自我评价认定结果：良好。我局将在以后的工作中加强预算管理，严格控制各项经费的开支，提高经费的使用效率。</w:t>
      </w:r>
    </w:p>
    <w:p>
      <w:pPr>
        <w:widowControl/>
        <w:spacing w:line="560" w:lineRule="exact"/>
        <w:ind w:firstLine="643" w:firstLineChars="200"/>
        <w:jc w:val="left"/>
        <w:rPr>
          <w:rFonts w:hint="eastAsia" w:ascii="仿宋_GB2312" w:hAnsi="微软雅黑" w:eastAsia="仿宋_GB2312" w:cs="宋体"/>
          <w:color w:val="333333"/>
          <w:kern w:val="0"/>
          <w:sz w:val="32"/>
          <w:szCs w:val="32"/>
          <w:lang w:val="zh-CN"/>
        </w:rPr>
      </w:pPr>
      <w:r>
        <w:rPr>
          <w:rFonts w:hint="eastAsia" w:ascii="仿宋_GB2312" w:hAnsi="微软雅黑" w:eastAsia="仿宋_GB2312" w:cs="宋体"/>
          <w:b/>
          <w:bCs/>
          <w:color w:val="333333"/>
          <w:kern w:val="0"/>
          <w:sz w:val="32"/>
          <w:szCs w:val="32"/>
          <w:lang w:val="zh-CN"/>
        </w:rPr>
        <w:t>（四）自评质量:</w:t>
      </w:r>
      <w:r>
        <w:rPr>
          <w:rFonts w:hint="eastAsia" w:ascii="仿宋_GB2312" w:hAnsi="微软雅黑" w:eastAsia="仿宋_GB2312" w:cs="宋体"/>
          <w:color w:val="333333"/>
          <w:kern w:val="0"/>
          <w:sz w:val="32"/>
          <w:szCs w:val="32"/>
        </w:rPr>
        <w:t>部门整体支出自评内容与要求基本符合，内容完善，总体质量较好。</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（一）评价结论。</w:t>
      </w:r>
      <w:r>
        <w:rPr>
          <w:rFonts w:hint="eastAsia" w:ascii="仿宋_GB2312" w:hAnsi="宋体" w:eastAsia="仿宋_GB2312" w:cs="宋体"/>
          <w:kern w:val="0"/>
          <w:sz w:val="32"/>
          <w:szCs w:val="32"/>
          <w:shd w:val="clear" w:color="auto" w:fill="FFFFFF"/>
          <w:lang w:val="zh-CN"/>
        </w:rPr>
        <w:t>攀枝花市政务服务管理局</w:t>
      </w:r>
      <w:r>
        <w:rPr>
          <w:rFonts w:hint="eastAsia" w:ascii="仿宋_GB2312" w:eastAsia="仿宋_GB2312"/>
          <w:sz w:val="32"/>
          <w:szCs w:val="32"/>
        </w:rPr>
        <w:t>资金政策依据较充分，绩效目标明确，资金使用和项目管理规范。</w:t>
      </w:r>
    </w:p>
    <w:p>
      <w:pPr>
        <w:widowControl/>
        <w:adjustRightInd w:val="0"/>
        <w:snapToGrid w:val="0"/>
        <w:spacing w:line="560" w:lineRule="exact"/>
        <w:ind w:firstLine="643"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（二）存在问题。</w:t>
      </w:r>
      <w:r>
        <w:rPr>
          <w:rFonts w:ascii="仿宋_GB2312" w:eastAsia="仿宋_GB2312"/>
          <w:sz w:val="32"/>
          <w:szCs w:val="32"/>
        </w:rPr>
        <w:t>预算编制</w:t>
      </w:r>
      <w:r>
        <w:rPr>
          <w:rFonts w:hint="eastAsia" w:ascii="仿宋_GB2312" w:eastAsia="仿宋_GB2312"/>
          <w:sz w:val="32"/>
          <w:szCs w:val="32"/>
        </w:rPr>
        <w:t>准确性有待进一步提高</w:t>
      </w:r>
    </w:p>
    <w:p>
      <w:pPr>
        <w:snapToGrid w:val="0"/>
        <w:spacing w:line="560" w:lineRule="exact"/>
        <w:ind w:firstLine="643" w:firstLineChars="200"/>
        <w:rPr>
          <w:rFonts w:ascii="仿宋_GB2312" w:eastAsia="仿宋_GB2312"/>
          <w:sz w:val="32"/>
          <w:szCs w:val="32"/>
        </w:rPr>
      </w:pPr>
      <w:r>
        <w:rPr>
          <w:rFonts w:hint="eastAsia" w:ascii="仿宋_GB2312" w:hAnsi="宋体" w:eastAsia="仿宋_GB2312" w:cs="宋体"/>
          <w:b/>
          <w:bCs/>
          <w:kern w:val="0"/>
          <w:sz w:val="32"/>
          <w:szCs w:val="32"/>
          <w:shd w:val="clear" w:color="auto" w:fill="FFFFFF"/>
          <w:lang w:val="zh-CN"/>
        </w:rPr>
        <w:t>（三）改进建议。</w:t>
      </w:r>
      <w:r>
        <w:rPr>
          <w:rFonts w:ascii="仿宋_GB2312" w:eastAsia="仿宋_GB2312"/>
          <w:sz w:val="32"/>
          <w:szCs w:val="32"/>
        </w:rPr>
        <w:t>在编制预算时，应结合上年实际开支，合理编制当年预算，提高预算编制的准确度，科学、合理的测算部门收支，提高预算精细化管理水平。</w:t>
      </w:r>
    </w:p>
    <w:p>
      <w:pPr>
        <w:numPr>
          <w:ilvl w:val="0"/>
          <w:numId w:val="0"/>
        </w:numPr>
        <w:spacing w:line="600" w:lineRule="exact"/>
        <w:jc w:val="both"/>
        <w:outlineLvl w:val="0"/>
        <w:rPr>
          <w:rStyle w:val="24"/>
          <w:rFonts w:hint="eastAsia" w:ascii="黑体" w:hAnsi="黑体" w:eastAsia="黑体"/>
          <w:b w:val="0"/>
        </w:rPr>
      </w:pPr>
    </w:p>
    <w:tbl>
      <w:tblPr>
        <w:tblStyle w:val="12"/>
        <w:tblpPr w:leftFromText="180" w:rightFromText="180" w:vertAnchor="text" w:horzAnchor="page" w:tblpX="1281" w:tblpY="660"/>
        <w:tblOverlap w:val="never"/>
        <w:tblW w:w="14393"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gridCol w:w="2173"/>
        <w:gridCol w:w="2409"/>
      </w:tblGrid>
      <w:tr>
        <w:tblPrEx>
          <w:tblCellMar>
            <w:top w:w="0" w:type="dxa"/>
            <w:left w:w="108" w:type="dxa"/>
            <w:bottom w:w="0" w:type="dxa"/>
            <w:right w:w="108" w:type="dxa"/>
          </w:tblCellMar>
        </w:tblPrEx>
        <w:trPr>
          <w:gridAfter w:val="2"/>
          <w:wAfter w:w="4582" w:type="dxa"/>
          <w:trHeight w:val="675" w:hRule="atLeast"/>
        </w:trPr>
        <w:tc>
          <w:tcPr>
            <w:tcW w:w="9575" w:type="dxa"/>
            <w:gridSpan w:val="6"/>
            <w:tcBorders>
              <w:top w:val="nil"/>
              <w:left w:val="nil"/>
              <w:bottom w:val="nil"/>
              <w:right w:val="nil"/>
            </w:tcBorders>
            <w:shd w:val="clear" w:color="auto" w:fill="auto"/>
            <w:vAlign w:val="center"/>
          </w:tcPr>
          <w:p>
            <w:pPr>
              <w:widowControl/>
              <w:ind w:firstLine="472" w:firstLineChars="147"/>
              <w:textAlignment w:val="center"/>
              <w:rPr>
                <w:rFonts w:ascii="宋体" w:hAnsi="宋体" w:cs="宋体"/>
                <w:b/>
                <w:sz w:val="32"/>
                <w:szCs w:val="32"/>
              </w:rPr>
            </w:pPr>
            <w:bookmarkStart w:id="84" w:name="_Toc15396618"/>
            <w:r>
              <w:rPr>
                <w:rFonts w:hint="eastAsia" w:ascii="宋体" w:hAnsi="宋体" w:cs="宋体"/>
                <w:b/>
                <w:sz w:val="32"/>
                <w:szCs w:val="32"/>
              </w:rPr>
              <w:t>2021年机关运行经费特定目标类部门预算项目绩效目标自评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3"/>
          <w:wAfter w:w="4818"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攀枝花市政务服务管理局136001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攀枝花市政务服务管理局</w:t>
            </w:r>
          </w:p>
        </w:tc>
      </w:tr>
      <w:tr>
        <w:tblPrEx>
          <w:tblCellMar>
            <w:top w:w="0" w:type="dxa"/>
            <w:left w:w="108" w:type="dxa"/>
            <w:bottom w:w="0" w:type="dxa"/>
            <w:right w:w="108" w:type="dxa"/>
          </w:tblCellMar>
        </w:tblPrEx>
        <w:trPr>
          <w:gridAfter w:val="3"/>
          <w:wAfter w:w="4818"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579.96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579.96</w:t>
            </w:r>
          </w:p>
        </w:tc>
      </w:tr>
      <w:tr>
        <w:tblPrEx>
          <w:tblCellMar>
            <w:top w:w="0" w:type="dxa"/>
            <w:left w:w="108" w:type="dxa"/>
            <w:bottom w:w="0" w:type="dxa"/>
            <w:right w:w="108" w:type="dxa"/>
          </w:tblCellMar>
        </w:tblPrEx>
        <w:trPr>
          <w:gridAfter w:val="3"/>
          <w:wAfter w:w="4818"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579.96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1440" w:firstLineChars="600"/>
              <w:textAlignment w:val="center"/>
              <w:rPr>
                <w:rFonts w:ascii="宋体" w:hAnsi="宋体" w:cs="宋体"/>
                <w:sz w:val="24"/>
              </w:rPr>
            </w:pPr>
            <w:r>
              <w:rPr>
                <w:rFonts w:hint="eastAsia" w:ascii="宋体" w:hAnsi="宋体" w:cs="宋体"/>
                <w:sz w:val="24"/>
              </w:rPr>
              <w:t>579.96</w:t>
            </w:r>
          </w:p>
        </w:tc>
      </w:tr>
      <w:tr>
        <w:tblPrEx>
          <w:tblCellMar>
            <w:top w:w="0" w:type="dxa"/>
            <w:left w:w="108" w:type="dxa"/>
            <w:bottom w:w="0" w:type="dxa"/>
            <w:right w:w="108" w:type="dxa"/>
          </w:tblCellMar>
        </w:tblPrEx>
        <w:trPr>
          <w:gridAfter w:val="3"/>
          <w:wAfter w:w="4818"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3"/>
          <w:wAfter w:w="4818"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3"/>
          <w:wAfter w:w="4818"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按照市委、市政府“建一流政务服务中心”的建设总要求，结合“放管服”改革和政府职能转变的发展走势，新中心将在原进驻内容的基础上，依照“四个有机结合”的入驻基本原则，新增与中心办理事项密切的办理环节，增补与法人、自然人及其他社会组织密切相关的公共服务事项和行权事项，扩充网上服务、自助服务、智能办公等“互联网+政务服务”内容，为广大市民和企业营造高效、规范、便捷的政务服务环境。随着入驻事项增加，办事群众也将会随之增长，为满足工作需求，更好的保障群众利益，提升政府形象，提高群众满意度，落实省、市关于“建一流政务服务中心”的要求。</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按照市委、市政府“建一流政务服务中心”的建设总要求，结合“放管服”改革和政府职能转变的发展走势，新中心将在原进驻内容的基础上，依照“四个有机结合”的入驻基本原则，新增与中心办理事项密切的办理环节，增补与法人、自然人及其他社会组织密切相关的公共服务事项和行权事项，扩充网上服务、自助服务、智能办公等“互联网+政务服务”内容，为广大市民和企业营造高效、规范、便捷的政务服务环境。随着入驻事项增加，办事群众也将会随之增长，为满足工作需求，更好的保障群众利益，提升政府形象，提高群众满意度，落实省、市关于“建一流政务服务中心”的要求。</w:t>
            </w:r>
          </w:p>
        </w:tc>
      </w:tr>
      <w:tr>
        <w:tblPrEx>
          <w:tblCellMar>
            <w:top w:w="0" w:type="dxa"/>
            <w:left w:w="108" w:type="dxa"/>
            <w:bottom w:w="0" w:type="dxa"/>
            <w:right w:w="108" w:type="dxa"/>
          </w:tblCellMar>
        </w:tblPrEx>
        <w:trPr>
          <w:gridAfter w:val="3"/>
          <w:wAfter w:w="4818"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63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指标</w:t>
            </w: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13"/>
                <w:szCs w:val="13"/>
              </w:rPr>
            </w:pPr>
            <w:r>
              <w:rPr>
                <w:rFonts w:hint="eastAsia" w:ascii="仿宋_GB2312" w:hAnsi="仿宋_GB2312" w:eastAsia="仿宋_GB2312" w:cs="仿宋_GB2312"/>
                <w:kern w:val="0"/>
                <w:sz w:val="13"/>
                <w:szCs w:val="13"/>
              </w:rPr>
              <w:t>1.推动实现全市政务服务事项办理全流程“最多跑一次”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13"/>
                <w:szCs w:val="13"/>
              </w:rPr>
            </w:pPr>
            <w:r>
              <w:rPr>
                <w:rFonts w:hint="eastAsia" w:ascii="仿宋_GB2312" w:hAnsi="仿宋_GB2312" w:eastAsia="仿宋_GB2312" w:cs="仿宋_GB2312"/>
                <w:kern w:val="0"/>
                <w:sz w:val="13"/>
                <w:szCs w:val="13"/>
              </w:rPr>
              <w:t>实现全市10627项政务服务事项办理全流程“最多跑一次”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13"/>
                <w:szCs w:val="13"/>
              </w:rPr>
              <w:t>实现全市10627项政务服务事项办理全流程“最多跑一次”</w:t>
            </w:r>
          </w:p>
        </w:tc>
        <w:tc>
          <w:tcPr>
            <w:tcW w:w="2409" w:type="dxa"/>
            <w:gridSpan w:val="2"/>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center"/>
          </w:tcPr>
          <w:p>
            <w:pPr>
              <w:spacing w:line="320" w:lineRule="exact"/>
              <w:jc w:val="center"/>
              <w:textAlignment w:val="bottom"/>
              <w:rPr>
                <w:rFonts w:ascii="仿宋_GB2312" w:hAnsi="仿宋_GB2312" w:eastAsia="仿宋_GB2312" w:cs="仿宋_GB2312"/>
                <w:kern w:val="0"/>
                <w:sz w:val="28"/>
                <w:szCs w:val="28"/>
              </w:rPr>
            </w:pPr>
          </w:p>
        </w:tc>
        <w:tc>
          <w:tcPr>
            <w:tcW w:w="1635" w:type="dxa"/>
            <w:vMerge w:val="continue"/>
            <w:tcBorders>
              <w:left w:val="single" w:color="000000" w:sz="4" w:space="0"/>
              <w:right w:val="single" w:color="000000" w:sz="4" w:space="0"/>
            </w:tcBorders>
            <w:shd w:val="clear" w:color="auto" w:fill="auto"/>
            <w:vAlign w:val="center"/>
          </w:tcPr>
          <w:p>
            <w:pPr>
              <w:spacing w:line="320" w:lineRule="exact"/>
              <w:jc w:val="center"/>
              <w:textAlignment w:val="bottom"/>
              <w:rPr>
                <w:rFonts w:ascii="仿宋_GB2312" w:hAnsi="仿宋_GB2312" w:eastAsia="仿宋_GB2312" w:cs="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3"/>
                <w:szCs w:val="13"/>
              </w:rPr>
            </w:pPr>
            <w:r>
              <w:rPr>
                <w:rFonts w:hint="eastAsia"/>
                <w:sz w:val="13"/>
                <w:szCs w:val="13"/>
              </w:rPr>
              <w:t xml:space="preserve"> 指标2：政务服务事项实现网上可办</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3"/>
                <w:szCs w:val="13"/>
              </w:rPr>
            </w:pPr>
            <w:r>
              <w:rPr>
                <w:rFonts w:hint="eastAsia"/>
                <w:sz w:val="13"/>
                <w:szCs w:val="13"/>
              </w:rPr>
              <w:t>实现10624项网上可办</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sz w:val="13"/>
                <w:szCs w:val="13"/>
              </w:rPr>
              <w:t>实现10624项网上可办</w:t>
            </w:r>
          </w:p>
        </w:tc>
        <w:tc>
          <w:tcPr>
            <w:tcW w:w="2409" w:type="dxa"/>
            <w:gridSpan w:val="2"/>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shd w:val="clear" w:color="auto" w:fill="auto"/>
            <w:vAlign w:val="center"/>
          </w:tcPr>
          <w:p>
            <w:pPr>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3"/>
                <w:szCs w:val="13"/>
              </w:rPr>
            </w:pPr>
            <w:r>
              <w:rPr>
                <w:rFonts w:hint="eastAsia"/>
                <w:sz w:val="13"/>
                <w:szCs w:val="13"/>
              </w:rPr>
              <w:t xml:space="preserve"> 指标3：全市共计229项政务服务事项实现“省内通办”，210项政务服务事项实现“川渝通办”，148项政务服务事项实现“跨省通办”。</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3"/>
                <w:szCs w:val="13"/>
              </w:rPr>
            </w:pPr>
            <w:r>
              <w:rPr>
                <w:rFonts w:hint="eastAsia"/>
                <w:sz w:val="13"/>
                <w:szCs w:val="13"/>
              </w:rPr>
              <w:t>全市共计229项政务服务事项实现“省内通办”，210项政务服务事项实现“川渝通办”，148项政务服务事项实现“跨省通办”。</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sz w:val="13"/>
                <w:szCs w:val="13"/>
              </w:rPr>
              <w:t>全市共计229项政务服务事项实现“省内通办”，210项政务服务事项实现“川渝通办”，148项政务服务事项实现“跨省通办”。</w:t>
            </w:r>
          </w:p>
        </w:tc>
        <w:tc>
          <w:tcPr>
            <w:tcW w:w="2409" w:type="dxa"/>
            <w:gridSpan w:val="2"/>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3"/>
          <w:wAfter w:w="4818"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3"/>
                <w:szCs w:val="13"/>
              </w:rPr>
            </w:pPr>
            <w:r>
              <w:rPr>
                <w:rFonts w:hint="eastAsia"/>
                <w:sz w:val="13"/>
                <w:szCs w:val="13"/>
              </w:rPr>
              <w:t xml:space="preserve"> 指标4：优化工程项目审批，将工程项目审批事项由原来的87项压减至65项，审批时限由原来的300多天压缩至90天以内。将人防、消防、技术性审查统一纳入到施工图审查环节，联合审图率达100%。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3"/>
                <w:szCs w:val="13"/>
              </w:rPr>
            </w:pPr>
            <w:r>
              <w:rPr>
                <w:rFonts w:hint="eastAsia"/>
                <w:sz w:val="13"/>
                <w:szCs w:val="13"/>
              </w:rPr>
              <w:t>优化工程项目审批，将工程项目审批事项由原来的87项压减至65项，审批时限由原来的300多天压缩至90天以内。将人防、消防、技术性审查统一纳入到施工图审查环节，联合审图率达100%。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sz w:val="13"/>
                <w:szCs w:val="13"/>
              </w:rPr>
              <w:t>优化工程项目审批，将工程项目审批事项由原来的87项压减至65项，审批时限由原来的300多天压缩至90天以内。将人防、消防、技术性审查统一纳入到施工图审查环节，联合审图率达100%。</w:t>
            </w:r>
          </w:p>
        </w:tc>
      </w:tr>
      <w:tr>
        <w:tblPrEx>
          <w:tblCellMar>
            <w:top w:w="0" w:type="dxa"/>
            <w:left w:w="108" w:type="dxa"/>
            <w:bottom w:w="0" w:type="dxa"/>
            <w:right w:w="108" w:type="dxa"/>
          </w:tblCellMar>
        </w:tblPrEx>
        <w:trPr>
          <w:gridAfter w:val="3"/>
          <w:wAfter w:w="4818"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3"/>
                <w:szCs w:val="13"/>
              </w:rPr>
            </w:pPr>
            <w:r>
              <w:rPr>
                <w:rFonts w:hint="eastAsia"/>
                <w:sz w:val="13"/>
                <w:szCs w:val="13"/>
              </w:rPr>
              <w:t>工作任务完成时间节点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3"/>
                <w:szCs w:val="13"/>
              </w:rPr>
            </w:pPr>
            <w:r>
              <w:rPr>
                <w:rFonts w:hint="eastAsia"/>
                <w:sz w:val="13"/>
                <w:szCs w:val="13"/>
              </w:rPr>
              <w:t>工作任务按时间节点完成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CellMar>
            <w:top w:w="0" w:type="dxa"/>
            <w:left w:w="108" w:type="dxa"/>
            <w:bottom w:w="0" w:type="dxa"/>
            <w:right w:w="108" w:type="dxa"/>
          </w:tblCellMar>
        </w:tblPrEx>
        <w:trPr>
          <w:gridAfter w:val="3"/>
          <w:wAfter w:w="4818"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3"/>
                <w:szCs w:val="13"/>
              </w:rPr>
            </w:pPr>
            <w:r>
              <w:rPr>
                <w:rFonts w:hint="eastAsia"/>
                <w:sz w:val="13"/>
                <w:szCs w:val="13"/>
              </w:rPr>
              <w:t>支出控制率（实际财政支出/计划财政支出）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3"/>
                <w:szCs w:val="13"/>
              </w:rPr>
            </w:pPr>
            <w:r>
              <w:rPr>
                <w:rFonts w:hint="eastAsia" w:ascii="仿宋_GB2312" w:hAnsi="仿宋_GB2312" w:eastAsia="仿宋_GB2312" w:cs="仿宋_GB2312"/>
                <w:sz w:val="13"/>
                <w:szCs w:val="13"/>
              </w:rPr>
              <w:t>预期目标任务范围内，≤100%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95</w:t>
            </w:r>
            <w:r>
              <w:rPr>
                <w:rFonts w:hint="eastAsia" w:ascii="仿宋_GB2312" w:hAnsi="仿宋_GB2312" w:eastAsia="仿宋_GB2312" w:cs="仿宋_GB2312"/>
                <w:sz w:val="28"/>
                <w:szCs w:val="28"/>
              </w:rPr>
              <w:t>%</w:t>
            </w:r>
          </w:p>
        </w:tc>
      </w:tr>
      <w:tr>
        <w:tblPrEx>
          <w:tblCellMar>
            <w:top w:w="0" w:type="dxa"/>
            <w:left w:w="108" w:type="dxa"/>
            <w:bottom w:w="0" w:type="dxa"/>
            <w:right w:w="108" w:type="dxa"/>
          </w:tblCellMar>
        </w:tblPrEx>
        <w:trPr>
          <w:gridAfter w:val="3"/>
          <w:wAfter w:w="4818"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3"/>
                <w:szCs w:val="13"/>
              </w:rPr>
            </w:pPr>
            <w:r>
              <w:rPr>
                <w:rFonts w:hint="eastAsia"/>
                <w:sz w:val="13"/>
                <w:szCs w:val="13"/>
              </w:rPr>
              <w:t>优化办事流程实现“最多跑一次”改革，提升优化营商环境能力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3"/>
                <w:szCs w:val="13"/>
              </w:rPr>
            </w:pPr>
            <w:r>
              <w:rPr>
                <w:rFonts w:hint="eastAsia"/>
                <w:sz w:val="13"/>
                <w:szCs w:val="13"/>
              </w:rPr>
              <w:t>年度内完成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0%</w:t>
            </w:r>
          </w:p>
        </w:tc>
      </w:tr>
      <w:tr>
        <w:tblPrEx>
          <w:tblCellMar>
            <w:top w:w="0" w:type="dxa"/>
            <w:left w:w="108" w:type="dxa"/>
            <w:bottom w:w="0" w:type="dxa"/>
            <w:right w:w="108" w:type="dxa"/>
          </w:tblCellMar>
        </w:tblPrEx>
        <w:trPr>
          <w:gridAfter w:val="3"/>
          <w:wAfter w:w="4818"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635" w:type="dxa"/>
            <w:vMerge w:val="restart"/>
            <w:tcBorders>
              <w:top w:val="single" w:color="000000" w:sz="4" w:space="0"/>
              <w:left w:val="single" w:color="000000" w:sz="4" w:space="0"/>
              <w:right w:val="single" w:color="000000" w:sz="4" w:space="0"/>
            </w:tcBorders>
            <w:shd w:val="clear" w:color="auto" w:fill="auto"/>
            <w:vAlign w:val="bottom"/>
          </w:tcPr>
          <w:p>
            <w:pPr>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3"/>
                <w:szCs w:val="13"/>
              </w:rPr>
            </w:pPr>
            <w:r>
              <w:rPr>
                <w:rFonts w:hint="eastAsia"/>
                <w:sz w:val="13"/>
                <w:szCs w:val="13"/>
              </w:rPr>
              <w:t xml:space="preserve"> 指标1：设立“办不成事”窗口</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3"/>
                <w:szCs w:val="13"/>
              </w:rPr>
            </w:pPr>
            <w:r>
              <w:rPr>
                <w:rFonts w:hint="eastAsia"/>
                <w:sz w:val="13"/>
                <w:szCs w:val="13"/>
              </w:rPr>
              <w:t>年度内完成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CellMar>
            <w:top w:w="0" w:type="dxa"/>
            <w:left w:w="108" w:type="dxa"/>
            <w:bottom w:w="0" w:type="dxa"/>
            <w:right w:w="108" w:type="dxa"/>
          </w:tblCellMar>
        </w:tblPrEx>
        <w:trPr>
          <w:gridAfter w:val="3"/>
          <w:wAfter w:w="4818"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635" w:type="dxa"/>
            <w:vMerge w:val="continue"/>
            <w:tcBorders>
              <w:left w:val="single" w:color="000000" w:sz="4" w:space="0"/>
              <w:right w:val="single" w:color="000000" w:sz="4" w:space="0"/>
            </w:tcBorders>
            <w:shd w:val="clear" w:color="auto" w:fill="auto"/>
            <w:vAlign w:val="bottom"/>
          </w:tcPr>
          <w:p>
            <w:pPr>
              <w:spacing w:line="320" w:lineRule="exact"/>
              <w:jc w:val="center"/>
              <w:textAlignment w:val="bottom"/>
              <w:rPr>
                <w:rFonts w:ascii="仿宋_GB2312" w:hAnsi="仿宋_GB2312" w:eastAsia="仿宋_GB2312" w:cs="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3"/>
                <w:szCs w:val="13"/>
              </w:rPr>
            </w:pPr>
            <w:r>
              <w:rPr>
                <w:rFonts w:hint="eastAsia"/>
                <w:sz w:val="13"/>
                <w:szCs w:val="13"/>
              </w:rPr>
              <w:t xml:space="preserve"> 指标2：实现“川渝通办”</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3"/>
                <w:szCs w:val="13"/>
              </w:rPr>
            </w:pPr>
            <w:r>
              <w:rPr>
                <w:rFonts w:hint="eastAsia"/>
                <w:sz w:val="13"/>
                <w:szCs w:val="13"/>
              </w:rPr>
              <w:t>年度内完成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98</w:t>
            </w:r>
            <w:r>
              <w:rPr>
                <w:rFonts w:hint="eastAsia" w:ascii="仿宋_GB2312" w:hAnsi="仿宋_GB2312" w:eastAsia="仿宋_GB2312" w:cs="仿宋_GB2312"/>
                <w:sz w:val="28"/>
                <w:szCs w:val="28"/>
              </w:rPr>
              <w:t>%</w:t>
            </w:r>
          </w:p>
        </w:tc>
      </w:tr>
      <w:tr>
        <w:tblPrEx>
          <w:tblCellMar>
            <w:top w:w="0" w:type="dxa"/>
            <w:left w:w="108" w:type="dxa"/>
            <w:bottom w:w="0" w:type="dxa"/>
            <w:right w:w="108" w:type="dxa"/>
          </w:tblCellMar>
        </w:tblPrEx>
        <w:trPr>
          <w:gridAfter w:val="3"/>
          <w:wAfter w:w="4818"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3"/>
                <w:szCs w:val="13"/>
              </w:rPr>
            </w:pPr>
            <w:r>
              <w:rPr>
                <w:rFonts w:hint="eastAsia"/>
                <w:sz w:val="13"/>
                <w:szCs w:val="13"/>
              </w:rPr>
              <w:t xml:space="preserve"> 指标3：提供上门帮办代办服务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3"/>
                <w:szCs w:val="13"/>
              </w:rPr>
            </w:pPr>
            <w:r>
              <w:rPr>
                <w:rFonts w:hint="eastAsia"/>
                <w:sz w:val="13"/>
                <w:szCs w:val="13"/>
              </w:rPr>
              <w:t>年度内完成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CellMar>
            <w:top w:w="0" w:type="dxa"/>
            <w:left w:w="108" w:type="dxa"/>
            <w:bottom w:w="0" w:type="dxa"/>
            <w:right w:w="108" w:type="dxa"/>
          </w:tblCellMar>
        </w:tblPrEx>
        <w:trPr>
          <w:gridAfter w:val="3"/>
          <w:wAfter w:w="4818"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3"/>
                <w:szCs w:val="13"/>
              </w:rPr>
            </w:pPr>
            <w:r>
              <w:rPr>
                <w:rFonts w:hint="eastAsia"/>
                <w:sz w:val="13"/>
                <w:szCs w:val="13"/>
              </w:rPr>
              <w:t xml:space="preserve"> 指标1：改善群众办事环境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3"/>
                <w:szCs w:val="13"/>
              </w:rPr>
            </w:pPr>
            <w:r>
              <w:rPr>
                <w:rFonts w:hint="eastAsia"/>
                <w:sz w:val="13"/>
                <w:szCs w:val="13"/>
              </w:rPr>
              <w:t>年度内完成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0%</w:t>
            </w:r>
          </w:p>
        </w:tc>
      </w:tr>
      <w:tr>
        <w:tblPrEx>
          <w:tblCellMar>
            <w:top w:w="0" w:type="dxa"/>
            <w:left w:w="108" w:type="dxa"/>
            <w:bottom w:w="0" w:type="dxa"/>
            <w:right w:w="108" w:type="dxa"/>
          </w:tblCellMar>
        </w:tblPrEx>
        <w:trPr>
          <w:gridAfter w:val="3"/>
          <w:wAfter w:w="4818"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3"/>
                <w:szCs w:val="13"/>
              </w:rPr>
            </w:pPr>
            <w:r>
              <w:rPr>
                <w:rFonts w:hint="eastAsia"/>
                <w:sz w:val="13"/>
                <w:szCs w:val="13"/>
              </w:rPr>
              <w:t xml:space="preserve"> 指标1：持续优化创新创业发展环境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3"/>
                <w:szCs w:val="13"/>
              </w:rPr>
            </w:pPr>
            <w:r>
              <w:rPr>
                <w:rFonts w:hint="eastAsia"/>
                <w:sz w:val="13"/>
                <w:szCs w:val="13"/>
              </w:rPr>
              <w:t>年度内完成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95</w:t>
            </w:r>
            <w:r>
              <w:rPr>
                <w:rFonts w:hint="eastAsia" w:ascii="仿宋_GB2312" w:hAnsi="仿宋_GB2312" w:eastAsia="仿宋_GB2312" w:cs="仿宋_GB2312"/>
                <w:sz w:val="28"/>
                <w:szCs w:val="28"/>
              </w:rPr>
              <w:t>%</w:t>
            </w:r>
          </w:p>
        </w:tc>
      </w:tr>
      <w:tr>
        <w:tblPrEx>
          <w:tblCellMar>
            <w:top w:w="0" w:type="dxa"/>
            <w:left w:w="108" w:type="dxa"/>
            <w:bottom w:w="0" w:type="dxa"/>
            <w:right w:w="108" w:type="dxa"/>
          </w:tblCellMar>
        </w:tblPrEx>
        <w:trPr>
          <w:gridAfter w:val="3"/>
          <w:wAfter w:w="4818"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3"/>
                <w:szCs w:val="13"/>
              </w:rPr>
            </w:pPr>
            <w:r>
              <w:rPr>
                <w:rFonts w:hint="eastAsia"/>
                <w:sz w:val="13"/>
                <w:szCs w:val="13"/>
              </w:rPr>
              <w:t xml:space="preserve"> 指标2：持续压降企业生产经营成本</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3"/>
                <w:szCs w:val="13"/>
              </w:rPr>
            </w:pPr>
            <w:r>
              <w:rPr>
                <w:rFonts w:hint="eastAsia"/>
                <w:sz w:val="13"/>
                <w:szCs w:val="13"/>
              </w:rPr>
              <w:t>年度内完成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0%</w:t>
            </w:r>
          </w:p>
        </w:tc>
      </w:tr>
      <w:tr>
        <w:tblPrEx>
          <w:tblCellMar>
            <w:top w:w="0" w:type="dxa"/>
            <w:left w:w="108" w:type="dxa"/>
            <w:bottom w:w="0" w:type="dxa"/>
            <w:right w:w="108" w:type="dxa"/>
          </w:tblCellMar>
        </w:tblPrEx>
        <w:trPr>
          <w:gridAfter w:val="3"/>
          <w:wAfter w:w="4818"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3"/>
                <w:szCs w:val="13"/>
              </w:rPr>
            </w:pPr>
            <w:r>
              <w:rPr>
                <w:rFonts w:hint="eastAsia"/>
                <w:sz w:val="13"/>
                <w:szCs w:val="13"/>
              </w:rPr>
              <w:t xml:space="preserve"> 指标3：持续深化商事制度改革</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3"/>
                <w:szCs w:val="13"/>
              </w:rPr>
            </w:pPr>
            <w:r>
              <w:rPr>
                <w:rFonts w:hint="eastAsia"/>
                <w:sz w:val="13"/>
                <w:szCs w:val="13"/>
              </w:rPr>
              <w:t>年度内完成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98</w:t>
            </w:r>
            <w:r>
              <w:rPr>
                <w:rFonts w:hint="eastAsia" w:ascii="仿宋_GB2312" w:hAnsi="仿宋_GB2312" w:eastAsia="仿宋_GB2312" w:cs="仿宋_GB2312"/>
                <w:sz w:val="28"/>
                <w:szCs w:val="28"/>
              </w:rPr>
              <w:t>%</w:t>
            </w:r>
          </w:p>
        </w:tc>
      </w:tr>
      <w:tr>
        <w:tblPrEx>
          <w:tblCellMar>
            <w:top w:w="0" w:type="dxa"/>
            <w:left w:w="108" w:type="dxa"/>
            <w:bottom w:w="0" w:type="dxa"/>
            <w:right w:w="108" w:type="dxa"/>
          </w:tblCellMar>
        </w:tblPrEx>
        <w:trPr>
          <w:gridAfter w:val="3"/>
          <w:wAfter w:w="4818"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3"/>
                <w:szCs w:val="13"/>
              </w:rPr>
            </w:pPr>
            <w:r>
              <w:rPr>
                <w:rFonts w:hint="eastAsia"/>
                <w:sz w:val="13"/>
                <w:szCs w:val="13"/>
              </w:rPr>
              <w:t xml:space="preserve"> 指标4：持续推进简政放权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3"/>
                <w:szCs w:val="13"/>
              </w:rPr>
            </w:pPr>
            <w:r>
              <w:rPr>
                <w:rFonts w:hint="eastAsia"/>
                <w:sz w:val="13"/>
                <w:szCs w:val="13"/>
              </w:rPr>
              <w:t>年度内完成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96</w:t>
            </w:r>
            <w:r>
              <w:rPr>
                <w:rFonts w:hint="eastAsia" w:ascii="仿宋_GB2312" w:hAnsi="仿宋_GB2312" w:eastAsia="仿宋_GB2312" w:cs="仿宋_GB2312"/>
                <w:sz w:val="28"/>
                <w:szCs w:val="28"/>
              </w:rPr>
              <w:t>%</w:t>
            </w:r>
          </w:p>
        </w:tc>
      </w:tr>
      <w:tr>
        <w:tblPrEx>
          <w:tblCellMar>
            <w:top w:w="0" w:type="dxa"/>
            <w:left w:w="108" w:type="dxa"/>
            <w:bottom w:w="0" w:type="dxa"/>
            <w:right w:w="108" w:type="dxa"/>
          </w:tblCellMar>
        </w:tblPrEx>
        <w:trPr>
          <w:gridAfter w:val="3"/>
          <w:wAfter w:w="4818"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3"/>
                <w:szCs w:val="13"/>
              </w:rPr>
            </w:pPr>
            <w:r>
              <w:rPr>
                <w:rFonts w:hint="eastAsia" w:ascii="仿宋_GB2312" w:hAnsi="仿宋_GB2312" w:eastAsia="仿宋_GB2312" w:cs="仿宋_GB2312"/>
                <w:sz w:val="13"/>
                <w:szCs w:val="13"/>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3"/>
                <w:szCs w:val="13"/>
              </w:rPr>
            </w:pPr>
            <w:r>
              <w:rPr>
                <w:rFonts w:hint="eastAsia"/>
                <w:sz w:val="13"/>
                <w:szCs w:val="13"/>
              </w:rPr>
              <w:t>80%以上</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0%</w:t>
            </w:r>
          </w:p>
        </w:tc>
      </w:tr>
    </w:tbl>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仿宋" w:hAnsi="仿宋" w:eastAsia="仿宋"/>
        </w:rPr>
      </w:pPr>
      <w:bookmarkStart w:id="85" w:name="_Toc112832554"/>
      <w:r>
        <w:rPr>
          <w:rFonts w:hint="eastAsia" w:ascii="黑体" w:hAnsi="黑体" w:eastAsia="黑体"/>
          <w:sz w:val="44"/>
          <w:szCs w:val="44"/>
        </w:rPr>
        <w:t>第</w:t>
      </w:r>
      <w:r>
        <w:rPr>
          <w:rStyle w:val="24"/>
          <w:rFonts w:hint="eastAsia" w:ascii="黑体" w:hAnsi="黑体" w:eastAsia="黑体"/>
          <w:b w:val="0"/>
        </w:rPr>
        <w:t>五部分 附表</w:t>
      </w:r>
      <w:bookmarkEnd w:id="82"/>
      <w:bookmarkEnd w:id="84"/>
      <w:bookmarkEnd w:id="85"/>
      <w:bookmarkStart w:id="86" w:name="_Toc15396619"/>
    </w:p>
    <w:p>
      <w:pPr>
        <w:pStyle w:val="3"/>
        <w:rPr>
          <w:rFonts w:ascii="仿宋" w:hAnsi="仿宋" w:eastAsia="仿宋"/>
        </w:rPr>
      </w:pPr>
      <w:bookmarkStart w:id="87" w:name="_Toc112832555"/>
      <w:r>
        <w:rPr>
          <w:rFonts w:hint="eastAsia" w:ascii="仿宋" w:hAnsi="仿宋" w:eastAsia="仿宋"/>
          <w:b w:val="0"/>
        </w:rPr>
        <w:t>一、收</w:t>
      </w:r>
      <w:r>
        <w:rPr>
          <w:rStyle w:val="25"/>
          <w:rFonts w:hint="eastAsia" w:ascii="仿宋" w:hAnsi="仿宋" w:eastAsia="仿宋"/>
          <w:b w:val="0"/>
          <w:bCs w:val="0"/>
        </w:rPr>
        <w:t>入支出决算总表</w:t>
      </w:r>
      <w:bookmarkEnd w:id="86"/>
      <w:bookmarkEnd w:id="87"/>
    </w:p>
    <w:p>
      <w:pPr>
        <w:pStyle w:val="3"/>
        <w:rPr>
          <w:rFonts w:ascii="仿宋" w:hAnsi="仿宋" w:eastAsia="仿宋"/>
        </w:rPr>
      </w:pPr>
      <w:bookmarkStart w:id="88" w:name="_Toc15396620"/>
      <w:bookmarkStart w:id="89" w:name="_Toc112832556"/>
      <w:r>
        <w:rPr>
          <w:rFonts w:hint="eastAsia" w:ascii="仿宋" w:hAnsi="仿宋" w:eastAsia="仿宋"/>
          <w:b w:val="0"/>
        </w:rPr>
        <w:t>二、收</w:t>
      </w:r>
      <w:r>
        <w:rPr>
          <w:rStyle w:val="25"/>
          <w:rFonts w:hint="eastAsia" w:ascii="仿宋" w:hAnsi="仿宋" w:eastAsia="仿宋"/>
          <w:b w:val="0"/>
          <w:bCs w:val="0"/>
        </w:rPr>
        <w:t>入决算表</w:t>
      </w:r>
      <w:bookmarkEnd w:id="88"/>
      <w:bookmarkEnd w:id="89"/>
    </w:p>
    <w:p>
      <w:pPr>
        <w:pStyle w:val="3"/>
        <w:rPr>
          <w:rFonts w:ascii="仿宋" w:hAnsi="仿宋" w:eastAsia="仿宋"/>
        </w:rPr>
      </w:pPr>
      <w:bookmarkStart w:id="90" w:name="_Toc112832557"/>
      <w:bookmarkStart w:id="91"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90"/>
      <w:bookmarkEnd w:id="91"/>
    </w:p>
    <w:p>
      <w:pPr>
        <w:pStyle w:val="3"/>
        <w:rPr>
          <w:rFonts w:ascii="仿宋" w:hAnsi="仿宋" w:eastAsia="仿宋"/>
          <w:b w:val="0"/>
        </w:rPr>
      </w:pPr>
      <w:bookmarkStart w:id="92" w:name="_Toc15396622"/>
      <w:bookmarkStart w:id="93" w:name="_Toc112832558"/>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92"/>
      <w:bookmarkEnd w:id="93"/>
    </w:p>
    <w:p>
      <w:pPr>
        <w:pStyle w:val="3"/>
        <w:rPr>
          <w:rStyle w:val="25"/>
          <w:rFonts w:ascii="仿宋" w:hAnsi="仿宋" w:eastAsia="仿宋"/>
          <w:b w:val="0"/>
          <w:bCs w:val="0"/>
        </w:rPr>
      </w:pPr>
      <w:bookmarkStart w:id="94" w:name="_Toc15396623"/>
      <w:bookmarkStart w:id="95" w:name="_Toc112832559"/>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94"/>
      <w:bookmarkEnd w:id="95"/>
      <w:bookmarkStart w:id="96" w:name="_Toc15396624"/>
    </w:p>
    <w:p>
      <w:pPr>
        <w:pStyle w:val="3"/>
        <w:rPr>
          <w:rFonts w:ascii="仿宋" w:hAnsi="仿宋" w:eastAsia="仿宋"/>
        </w:rPr>
      </w:pPr>
      <w:bookmarkStart w:id="97" w:name="_Toc112832560"/>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96"/>
      <w:bookmarkEnd w:id="97"/>
    </w:p>
    <w:p>
      <w:pPr>
        <w:pStyle w:val="3"/>
        <w:rPr>
          <w:rFonts w:ascii="仿宋" w:hAnsi="仿宋" w:eastAsia="仿宋"/>
        </w:rPr>
      </w:pPr>
      <w:bookmarkStart w:id="98" w:name="_Toc112832561"/>
      <w:bookmarkStart w:id="99"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98"/>
      <w:bookmarkEnd w:id="99"/>
    </w:p>
    <w:p>
      <w:pPr>
        <w:pStyle w:val="3"/>
        <w:rPr>
          <w:rFonts w:ascii="仿宋" w:hAnsi="仿宋" w:eastAsia="仿宋"/>
        </w:rPr>
      </w:pPr>
      <w:bookmarkStart w:id="100" w:name="_Toc112832562"/>
      <w:bookmarkStart w:id="10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100"/>
      <w:bookmarkEnd w:id="101"/>
    </w:p>
    <w:p>
      <w:pPr>
        <w:pStyle w:val="3"/>
        <w:rPr>
          <w:rFonts w:ascii="仿宋" w:hAnsi="仿宋" w:eastAsia="仿宋"/>
        </w:rPr>
      </w:pPr>
      <w:bookmarkStart w:id="102" w:name="_Toc112832563"/>
      <w:bookmarkStart w:id="103"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102"/>
      <w:bookmarkEnd w:id="103"/>
    </w:p>
    <w:p>
      <w:pPr>
        <w:pStyle w:val="3"/>
        <w:rPr>
          <w:rFonts w:ascii="仿宋" w:hAnsi="仿宋" w:eastAsia="仿宋"/>
        </w:rPr>
      </w:pPr>
      <w:bookmarkStart w:id="104" w:name="_Toc112832564"/>
      <w:bookmarkStart w:id="105"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104"/>
      <w:bookmarkEnd w:id="105"/>
    </w:p>
    <w:p>
      <w:pPr>
        <w:pStyle w:val="3"/>
        <w:rPr>
          <w:rFonts w:ascii="仿宋" w:hAnsi="仿宋" w:eastAsia="仿宋"/>
        </w:rPr>
      </w:pPr>
      <w:bookmarkStart w:id="106" w:name="_Toc112832565"/>
      <w:bookmarkStart w:id="107"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106"/>
      <w:bookmarkEnd w:id="107"/>
    </w:p>
    <w:p>
      <w:pPr>
        <w:pStyle w:val="3"/>
        <w:rPr>
          <w:rFonts w:ascii="仿宋" w:hAnsi="仿宋" w:eastAsia="仿宋"/>
        </w:rPr>
      </w:pPr>
      <w:bookmarkStart w:id="108" w:name="_Toc112832566"/>
      <w:bookmarkStart w:id="109"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108"/>
      <w:bookmarkEnd w:id="109"/>
    </w:p>
    <w:p>
      <w:pPr>
        <w:pStyle w:val="3"/>
        <w:rPr>
          <w:rStyle w:val="25"/>
          <w:rFonts w:ascii="仿宋" w:hAnsi="仿宋" w:eastAsia="仿宋"/>
          <w:b w:val="0"/>
          <w:bCs w:val="0"/>
        </w:rPr>
      </w:pPr>
      <w:bookmarkStart w:id="110" w:name="_Toc112832567"/>
      <w:bookmarkStart w:id="111"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110"/>
      <w:bookmarkEnd w:id="111"/>
    </w:p>
    <w:p>
      <w:pPr>
        <w:rPr>
          <w:rFonts w:eastAsia="仿宋"/>
        </w:rPr>
      </w:pPr>
      <w:bookmarkStart w:id="112" w:name="_Toc112832568"/>
      <w:r>
        <w:rPr>
          <w:rStyle w:val="25"/>
          <w:rFonts w:hint="eastAsia" w:ascii="仿宋" w:hAnsi="仿宋" w:eastAsia="仿宋"/>
          <w:b w:val="0"/>
          <w:bCs w:val="0"/>
        </w:rPr>
        <w:t>十四、国有资本经营预算财政拨款支出决算表</w:t>
      </w:r>
      <w:bookmarkEnd w:id="11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23</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7F146"/>
    <w:multiLevelType w:val="singleLevel"/>
    <w:tmpl w:val="A637F146"/>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2497"/>
    <w:rsid w:val="00013992"/>
    <w:rsid w:val="000222C6"/>
    <w:rsid w:val="0002549F"/>
    <w:rsid w:val="000468DB"/>
    <w:rsid w:val="0005438B"/>
    <w:rsid w:val="0006487A"/>
    <w:rsid w:val="00065F8F"/>
    <w:rsid w:val="00070A43"/>
    <w:rsid w:val="000731EF"/>
    <w:rsid w:val="000768F2"/>
    <w:rsid w:val="0009184B"/>
    <w:rsid w:val="00094236"/>
    <w:rsid w:val="0009593C"/>
    <w:rsid w:val="00097322"/>
    <w:rsid w:val="000A6A92"/>
    <w:rsid w:val="000B047F"/>
    <w:rsid w:val="000B5923"/>
    <w:rsid w:val="000B5A48"/>
    <w:rsid w:val="000B6FF3"/>
    <w:rsid w:val="000C2A57"/>
    <w:rsid w:val="000C3467"/>
    <w:rsid w:val="000C3CA6"/>
    <w:rsid w:val="000C5136"/>
    <w:rsid w:val="000C6BA6"/>
    <w:rsid w:val="000D1267"/>
    <w:rsid w:val="000D1D50"/>
    <w:rsid w:val="000D5782"/>
    <w:rsid w:val="000E6613"/>
    <w:rsid w:val="000E7119"/>
    <w:rsid w:val="00102AD2"/>
    <w:rsid w:val="00114E9B"/>
    <w:rsid w:val="00115A7D"/>
    <w:rsid w:val="001217B4"/>
    <w:rsid w:val="00134059"/>
    <w:rsid w:val="00135637"/>
    <w:rsid w:val="00142216"/>
    <w:rsid w:val="00144D6A"/>
    <w:rsid w:val="0014729F"/>
    <w:rsid w:val="00150071"/>
    <w:rsid w:val="00157BAB"/>
    <w:rsid w:val="001654D1"/>
    <w:rsid w:val="00174518"/>
    <w:rsid w:val="0018106D"/>
    <w:rsid w:val="001877A7"/>
    <w:rsid w:val="00191536"/>
    <w:rsid w:val="00196687"/>
    <w:rsid w:val="001A5E52"/>
    <w:rsid w:val="001C0962"/>
    <w:rsid w:val="001D5CAD"/>
    <w:rsid w:val="001D7531"/>
    <w:rsid w:val="001E1A41"/>
    <w:rsid w:val="001E737D"/>
    <w:rsid w:val="001F0592"/>
    <w:rsid w:val="001F7506"/>
    <w:rsid w:val="002006CD"/>
    <w:rsid w:val="00202B36"/>
    <w:rsid w:val="00204B7A"/>
    <w:rsid w:val="00204CDE"/>
    <w:rsid w:val="0021101A"/>
    <w:rsid w:val="00220536"/>
    <w:rsid w:val="00235629"/>
    <w:rsid w:val="00241504"/>
    <w:rsid w:val="00246302"/>
    <w:rsid w:val="002512AF"/>
    <w:rsid w:val="00260C38"/>
    <w:rsid w:val="002616C0"/>
    <w:rsid w:val="00265372"/>
    <w:rsid w:val="002662AA"/>
    <w:rsid w:val="002771C6"/>
    <w:rsid w:val="00280496"/>
    <w:rsid w:val="00284F9D"/>
    <w:rsid w:val="00294DC9"/>
    <w:rsid w:val="00295495"/>
    <w:rsid w:val="002A31DE"/>
    <w:rsid w:val="002B2613"/>
    <w:rsid w:val="002D6D05"/>
    <w:rsid w:val="002E5317"/>
    <w:rsid w:val="002F1818"/>
    <w:rsid w:val="002F567B"/>
    <w:rsid w:val="00312F28"/>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3A0"/>
    <w:rsid w:val="00416EEA"/>
    <w:rsid w:val="004223DE"/>
    <w:rsid w:val="00434489"/>
    <w:rsid w:val="00437085"/>
    <w:rsid w:val="00443880"/>
    <w:rsid w:val="004464F4"/>
    <w:rsid w:val="0045407E"/>
    <w:rsid w:val="00465198"/>
    <w:rsid w:val="00471401"/>
    <w:rsid w:val="00472B1F"/>
    <w:rsid w:val="00473F31"/>
    <w:rsid w:val="0048263A"/>
    <w:rsid w:val="00486908"/>
    <w:rsid w:val="00487E5D"/>
    <w:rsid w:val="004A444F"/>
    <w:rsid w:val="004A711F"/>
    <w:rsid w:val="004B199D"/>
    <w:rsid w:val="004B4690"/>
    <w:rsid w:val="004D7D21"/>
    <w:rsid w:val="004E0A2D"/>
    <w:rsid w:val="004E206B"/>
    <w:rsid w:val="004E6DF7"/>
    <w:rsid w:val="004F0FBD"/>
    <w:rsid w:val="00505A47"/>
    <w:rsid w:val="00512FDA"/>
    <w:rsid w:val="00520DA0"/>
    <w:rsid w:val="0052723C"/>
    <w:rsid w:val="00553B09"/>
    <w:rsid w:val="00560A19"/>
    <w:rsid w:val="00561204"/>
    <w:rsid w:val="005664BB"/>
    <w:rsid w:val="00566FFA"/>
    <w:rsid w:val="00573A11"/>
    <w:rsid w:val="0057481D"/>
    <w:rsid w:val="0058486E"/>
    <w:rsid w:val="00585B33"/>
    <w:rsid w:val="0059014D"/>
    <w:rsid w:val="005A0EDF"/>
    <w:rsid w:val="005A3638"/>
    <w:rsid w:val="005B5C64"/>
    <w:rsid w:val="005C01AE"/>
    <w:rsid w:val="005C5337"/>
    <w:rsid w:val="005C6BD0"/>
    <w:rsid w:val="005D1C8B"/>
    <w:rsid w:val="005D468D"/>
    <w:rsid w:val="005D4AD8"/>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686B"/>
    <w:rsid w:val="006513C0"/>
    <w:rsid w:val="0066343B"/>
    <w:rsid w:val="00664777"/>
    <w:rsid w:val="00667DF7"/>
    <w:rsid w:val="006729D9"/>
    <w:rsid w:val="006748A4"/>
    <w:rsid w:val="00681A31"/>
    <w:rsid w:val="00683E73"/>
    <w:rsid w:val="00684846"/>
    <w:rsid w:val="006A3141"/>
    <w:rsid w:val="006A5E34"/>
    <w:rsid w:val="006B2422"/>
    <w:rsid w:val="006B2B9A"/>
    <w:rsid w:val="006C1937"/>
    <w:rsid w:val="006F020C"/>
    <w:rsid w:val="007127B7"/>
    <w:rsid w:val="0071798E"/>
    <w:rsid w:val="007416B6"/>
    <w:rsid w:val="00746F48"/>
    <w:rsid w:val="0075404D"/>
    <w:rsid w:val="0076182A"/>
    <w:rsid w:val="00766E6A"/>
    <w:rsid w:val="00767B4C"/>
    <w:rsid w:val="00767B7E"/>
    <w:rsid w:val="007736B6"/>
    <w:rsid w:val="00776DD9"/>
    <w:rsid w:val="007770C3"/>
    <w:rsid w:val="00784D24"/>
    <w:rsid w:val="00785FBA"/>
    <w:rsid w:val="00786E4A"/>
    <w:rsid w:val="007875EB"/>
    <w:rsid w:val="00791F51"/>
    <w:rsid w:val="0079426B"/>
    <w:rsid w:val="007D1682"/>
    <w:rsid w:val="007D312A"/>
    <w:rsid w:val="007D3F19"/>
    <w:rsid w:val="007E23B0"/>
    <w:rsid w:val="007E23E5"/>
    <w:rsid w:val="007F1991"/>
    <w:rsid w:val="007F2C2F"/>
    <w:rsid w:val="007F55FC"/>
    <w:rsid w:val="007F5665"/>
    <w:rsid w:val="00800112"/>
    <w:rsid w:val="008047C8"/>
    <w:rsid w:val="00806893"/>
    <w:rsid w:val="00813348"/>
    <w:rsid w:val="008253BB"/>
    <w:rsid w:val="0083706E"/>
    <w:rsid w:val="008408F6"/>
    <w:rsid w:val="00841C65"/>
    <w:rsid w:val="008423A5"/>
    <w:rsid w:val="00850625"/>
    <w:rsid w:val="00853718"/>
    <w:rsid w:val="00855221"/>
    <w:rsid w:val="00860645"/>
    <w:rsid w:val="00871F71"/>
    <w:rsid w:val="00872FD8"/>
    <w:rsid w:val="00885932"/>
    <w:rsid w:val="00885AF4"/>
    <w:rsid w:val="008939CD"/>
    <w:rsid w:val="008A1461"/>
    <w:rsid w:val="008A7F99"/>
    <w:rsid w:val="008B072A"/>
    <w:rsid w:val="008B233E"/>
    <w:rsid w:val="008B768C"/>
    <w:rsid w:val="008C4DB1"/>
    <w:rsid w:val="008C4EAF"/>
    <w:rsid w:val="008C5176"/>
    <w:rsid w:val="008C7FD0"/>
    <w:rsid w:val="008E1DE7"/>
    <w:rsid w:val="008E707C"/>
    <w:rsid w:val="00900B08"/>
    <w:rsid w:val="00902155"/>
    <w:rsid w:val="00902FA3"/>
    <w:rsid w:val="00917C7E"/>
    <w:rsid w:val="00923564"/>
    <w:rsid w:val="0092392E"/>
    <w:rsid w:val="009315F9"/>
    <w:rsid w:val="00933499"/>
    <w:rsid w:val="00935C98"/>
    <w:rsid w:val="00946945"/>
    <w:rsid w:val="00951248"/>
    <w:rsid w:val="0095152F"/>
    <w:rsid w:val="00952746"/>
    <w:rsid w:val="00954C49"/>
    <w:rsid w:val="00955E37"/>
    <w:rsid w:val="009603E8"/>
    <w:rsid w:val="0097099F"/>
    <w:rsid w:val="00971997"/>
    <w:rsid w:val="00971FFC"/>
    <w:rsid w:val="0098660A"/>
    <w:rsid w:val="009931C3"/>
    <w:rsid w:val="009A4B94"/>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16CC9"/>
    <w:rsid w:val="00A237D8"/>
    <w:rsid w:val="00A268C4"/>
    <w:rsid w:val="00A307CD"/>
    <w:rsid w:val="00A331C8"/>
    <w:rsid w:val="00A40A00"/>
    <w:rsid w:val="00A4142F"/>
    <w:rsid w:val="00A41697"/>
    <w:rsid w:val="00A422EB"/>
    <w:rsid w:val="00A45BB7"/>
    <w:rsid w:val="00A55935"/>
    <w:rsid w:val="00A56DF2"/>
    <w:rsid w:val="00A56E6E"/>
    <w:rsid w:val="00A60ABB"/>
    <w:rsid w:val="00A67AB5"/>
    <w:rsid w:val="00A733B2"/>
    <w:rsid w:val="00A741C2"/>
    <w:rsid w:val="00A91760"/>
    <w:rsid w:val="00A91FE3"/>
    <w:rsid w:val="00A93B00"/>
    <w:rsid w:val="00A93C21"/>
    <w:rsid w:val="00AA3706"/>
    <w:rsid w:val="00AA5253"/>
    <w:rsid w:val="00AA6839"/>
    <w:rsid w:val="00AB64C9"/>
    <w:rsid w:val="00AC02E6"/>
    <w:rsid w:val="00AC3C6A"/>
    <w:rsid w:val="00AD37C2"/>
    <w:rsid w:val="00AD5620"/>
    <w:rsid w:val="00AD656B"/>
    <w:rsid w:val="00AD7C1B"/>
    <w:rsid w:val="00AE0E6E"/>
    <w:rsid w:val="00AE16BA"/>
    <w:rsid w:val="00AE1EBE"/>
    <w:rsid w:val="00B03C9D"/>
    <w:rsid w:val="00B04316"/>
    <w:rsid w:val="00B060AE"/>
    <w:rsid w:val="00B10517"/>
    <w:rsid w:val="00B14E76"/>
    <w:rsid w:val="00B161B8"/>
    <w:rsid w:val="00B2048C"/>
    <w:rsid w:val="00B310B9"/>
    <w:rsid w:val="00B34D86"/>
    <w:rsid w:val="00B35F3F"/>
    <w:rsid w:val="00B36CBB"/>
    <w:rsid w:val="00B425E0"/>
    <w:rsid w:val="00B440AA"/>
    <w:rsid w:val="00B44B70"/>
    <w:rsid w:val="00B53C56"/>
    <w:rsid w:val="00B57DAF"/>
    <w:rsid w:val="00B65F06"/>
    <w:rsid w:val="00B77EA6"/>
    <w:rsid w:val="00B81598"/>
    <w:rsid w:val="00B841F1"/>
    <w:rsid w:val="00B84319"/>
    <w:rsid w:val="00B944D6"/>
    <w:rsid w:val="00BB4DF0"/>
    <w:rsid w:val="00BC289F"/>
    <w:rsid w:val="00BC2D50"/>
    <w:rsid w:val="00BC5361"/>
    <w:rsid w:val="00BC5460"/>
    <w:rsid w:val="00BC6B50"/>
    <w:rsid w:val="00BD0E25"/>
    <w:rsid w:val="00BF0BEB"/>
    <w:rsid w:val="00BF5BD6"/>
    <w:rsid w:val="00C02C75"/>
    <w:rsid w:val="00C03E31"/>
    <w:rsid w:val="00C21879"/>
    <w:rsid w:val="00C23FBB"/>
    <w:rsid w:val="00C33E72"/>
    <w:rsid w:val="00C354B2"/>
    <w:rsid w:val="00C35554"/>
    <w:rsid w:val="00C42709"/>
    <w:rsid w:val="00C533CC"/>
    <w:rsid w:val="00C53E76"/>
    <w:rsid w:val="00C5751C"/>
    <w:rsid w:val="00C61BFC"/>
    <w:rsid w:val="00C62B85"/>
    <w:rsid w:val="00C6361C"/>
    <w:rsid w:val="00C65438"/>
    <w:rsid w:val="00C87FD8"/>
    <w:rsid w:val="00C91381"/>
    <w:rsid w:val="00C91CBB"/>
    <w:rsid w:val="00CB4E70"/>
    <w:rsid w:val="00CC09B6"/>
    <w:rsid w:val="00CC666F"/>
    <w:rsid w:val="00CD1E3F"/>
    <w:rsid w:val="00CE44F6"/>
    <w:rsid w:val="00CE49DA"/>
    <w:rsid w:val="00CE7B61"/>
    <w:rsid w:val="00CF44A9"/>
    <w:rsid w:val="00D00095"/>
    <w:rsid w:val="00D047AA"/>
    <w:rsid w:val="00D114F0"/>
    <w:rsid w:val="00D20620"/>
    <w:rsid w:val="00D23F8F"/>
    <w:rsid w:val="00D245C4"/>
    <w:rsid w:val="00D2511E"/>
    <w:rsid w:val="00D254F7"/>
    <w:rsid w:val="00D26091"/>
    <w:rsid w:val="00D2685C"/>
    <w:rsid w:val="00D34E7C"/>
    <w:rsid w:val="00D35489"/>
    <w:rsid w:val="00D36AFE"/>
    <w:rsid w:val="00D51276"/>
    <w:rsid w:val="00D7035F"/>
    <w:rsid w:val="00D8572D"/>
    <w:rsid w:val="00DA3335"/>
    <w:rsid w:val="00DA634F"/>
    <w:rsid w:val="00DA65AC"/>
    <w:rsid w:val="00DB1913"/>
    <w:rsid w:val="00DC410D"/>
    <w:rsid w:val="00DC5A81"/>
    <w:rsid w:val="00DC68CA"/>
    <w:rsid w:val="00DC7CBA"/>
    <w:rsid w:val="00DD40D5"/>
    <w:rsid w:val="00DD73B7"/>
    <w:rsid w:val="00DF28BC"/>
    <w:rsid w:val="00DF34B9"/>
    <w:rsid w:val="00E01053"/>
    <w:rsid w:val="00E03D18"/>
    <w:rsid w:val="00E07ACF"/>
    <w:rsid w:val="00E302A9"/>
    <w:rsid w:val="00E3253C"/>
    <w:rsid w:val="00E331A1"/>
    <w:rsid w:val="00E33202"/>
    <w:rsid w:val="00E336A9"/>
    <w:rsid w:val="00E34AAF"/>
    <w:rsid w:val="00E472B1"/>
    <w:rsid w:val="00E50624"/>
    <w:rsid w:val="00E568DF"/>
    <w:rsid w:val="00E602CD"/>
    <w:rsid w:val="00E64269"/>
    <w:rsid w:val="00E762DB"/>
    <w:rsid w:val="00E82267"/>
    <w:rsid w:val="00E853CE"/>
    <w:rsid w:val="00E85A72"/>
    <w:rsid w:val="00E867B6"/>
    <w:rsid w:val="00E96779"/>
    <w:rsid w:val="00EA010F"/>
    <w:rsid w:val="00EB4AF3"/>
    <w:rsid w:val="00EC2938"/>
    <w:rsid w:val="00ED1190"/>
    <w:rsid w:val="00ED1B63"/>
    <w:rsid w:val="00ED3C1F"/>
    <w:rsid w:val="00ED4085"/>
    <w:rsid w:val="00ED420E"/>
    <w:rsid w:val="00ED6FBE"/>
    <w:rsid w:val="00EE2F57"/>
    <w:rsid w:val="00EF4C34"/>
    <w:rsid w:val="00EF77C6"/>
    <w:rsid w:val="00F05438"/>
    <w:rsid w:val="00F1361C"/>
    <w:rsid w:val="00F156F0"/>
    <w:rsid w:val="00F160C7"/>
    <w:rsid w:val="00F21BC4"/>
    <w:rsid w:val="00F2408F"/>
    <w:rsid w:val="00F240E9"/>
    <w:rsid w:val="00F26D32"/>
    <w:rsid w:val="00F36D8F"/>
    <w:rsid w:val="00F417B1"/>
    <w:rsid w:val="00F45853"/>
    <w:rsid w:val="00F602DF"/>
    <w:rsid w:val="00F754A1"/>
    <w:rsid w:val="00F81FD9"/>
    <w:rsid w:val="00F841AA"/>
    <w:rsid w:val="00F84A94"/>
    <w:rsid w:val="00F87E96"/>
    <w:rsid w:val="00FA23E8"/>
    <w:rsid w:val="00FC69E7"/>
    <w:rsid w:val="00FD2C54"/>
    <w:rsid w:val="00FD3CC1"/>
    <w:rsid w:val="00FD707B"/>
    <w:rsid w:val="00FF1E02"/>
    <w:rsid w:val="00FF30B4"/>
    <w:rsid w:val="01EE12ED"/>
    <w:rsid w:val="01F14FAE"/>
    <w:rsid w:val="08073954"/>
    <w:rsid w:val="0A2032A3"/>
    <w:rsid w:val="0B8A37D8"/>
    <w:rsid w:val="10C055FF"/>
    <w:rsid w:val="118107EC"/>
    <w:rsid w:val="11DD6519"/>
    <w:rsid w:val="14CF5D36"/>
    <w:rsid w:val="16BB723D"/>
    <w:rsid w:val="18015F3F"/>
    <w:rsid w:val="1BE8440E"/>
    <w:rsid w:val="1D155CEE"/>
    <w:rsid w:val="20F57F95"/>
    <w:rsid w:val="240371BF"/>
    <w:rsid w:val="25C741E6"/>
    <w:rsid w:val="27842671"/>
    <w:rsid w:val="29FD04D3"/>
    <w:rsid w:val="2ABE7A3E"/>
    <w:rsid w:val="2EFA178C"/>
    <w:rsid w:val="30B46D73"/>
    <w:rsid w:val="319F7F4E"/>
    <w:rsid w:val="39AE70AB"/>
    <w:rsid w:val="3C0C0783"/>
    <w:rsid w:val="3F9F3A96"/>
    <w:rsid w:val="493C27E9"/>
    <w:rsid w:val="496F39ED"/>
    <w:rsid w:val="49F37540"/>
    <w:rsid w:val="49FF41D3"/>
    <w:rsid w:val="4BE068DB"/>
    <w:rsid w:val="4BF6002B"/>
    <w:rsid w:val="4EAB2387"/>
    <w:rsid w:val="4ECE2238"/>
    <w:rsid w:val="51DB4B86"/>
    <w:rsid w:val="55333C3E"/>
    <w:rsid w:val="57FB5E2B"/>
    <w:rsid w:val="598415E6"/>
    <w:rsid w:val="5D401C20"/>
    <w:rsid w:val="64CA39A1"/>
    <w:rsid w:val="655362FE"/>
    <w:rsid w:val="65C62D29"/>
    <w:rsid w:val="68C22103"/>
    <w:rsid w:val="6A9528B9"/>
    <w:rsid w:val="6C4A05C8"/>
    <w:rsid w:val="6E8C379E"/>
    <w:rsid w:val="72734D90"/>
    <w:rsid w:val="72D94AB3"/>
    <w:rsid w:val="73C534F8"/>
    <w:rsid w:val="7402366B"/>
    <w:rsid w:val="75E93EFE"/>
    <w:rsid w:val="79E7B28D"/>
    <w:rsid w:val="7AE542FF"/>
    <w:rsid w:val="7BDB0273"/>
    <w:rsid w:val="7D84239E"/>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p19"/>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3EECEA-3641-416C-9763-A7DDF985198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1752</Words>
  <Characters>9992</Characters>
  <Lines>83</Lines>
  <Paragraphs>23</Paragraphs>
  <TotalTime>24</TotalTime>
  <ScaleCrop>false</ScaleCrop>
  <LinksUpToDate>false</LinksUpToDate>
  <CharactersWithSpaces>11721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李燕君</cp:lastModifiedBy>
  <cp:lastPrinted>2023-10-07T03:40:00Z</cp:lastPrinted>
  <dcterms:modified xsi:type="dcterms:W3CDTF">2023-10-16T02:14:12Z</dcterms:modified>
  <dc:title>四川省***</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