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96475"/>
      <w:bookmarkStart w:id="1" w:name="_Toc15396597"/>
      <w:bookmarkStart w:id="2" w:name="_Toc15377425"/>
      <w:bookmarkStart w:id="3" w:name="_Toc15378441"/>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13530892"/>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6"/>
    </w:p>
    <w:p>
      <w:pPr>
        <w:adjustRightInd w:val="0"/>
        <w:snapToGrid w:val="0"/>
        <w:spacing w:line="360" w:lineRule="auto"/>
        <w:jc w:val="center"/>
        <w:outlineLvl w:val="0"/>
        <w:rPr>
          <w:rFonts w:ascii="方正小标宋简体" w:hAnsi="宋体" w:eastAsia="方正小标宋简体"/>
          <w:sz w:val="52"/>
          <w:szCs w:val="52"/>
        </w:rPr>
      </w:pPr>
      <w:bookmarkStart w:id="7" w:name="_Toc15396598"/>
      <w:bookmarkStart w:id="8" w:name="_Toc113530893"/>
      <w:bookmarkStart w:id="9" w:name="_Toc15378442"/>
      <w:bookmarkStart w:id="10" w:name="_Toc15396476"/>
      <w:bookmarkStart w:id="11" w:name="_Toc15377194"/>
      <w:bookmarkStart w:id="12" w:name="_Toc15377426"/>
      <w:r>
        <w:rPr>
          <w:rFonts w:hint="eastAsia" w:ascii="方正小标宋简体" w:hAnsi="方正小标宋简体" w:eastAsia="方正小标宋简体" w:cs="方正小标宋简体"/>
          <w:sz w:val="72"/>
          <w:szCs w:val="72"/>
        </w:rPr>
        <w:t>四川省</w:t>
      </w:r>
      <w:bookmarkEnd w:id="5"/>
      <w:bookmarkStart w:id="13" w:name="_Toc15306268"/>
      <w:r>
        <w:rPr>
          <w:rFonts w:hint="eastAsia" w:ascii="方正小标宋简体" w:hAnsi="方正小标宋简体" w:eastAsia="方正小标宋简体" w:cs="方正小标宋简体"/>
          <w:sz w:val="72"/>
          <w:szCs w:val="72"/>
        </w:rPr>
        <w:t>攀枝花市政务服务管理局部门决算</w:t>
      </w:r>
      <w:bookmarkEnd w:id="7"/>
      <w:bookmarkEnd w:id="8"/>
      <w:bookmarkEnd w:id="9"/>
      <w:bookmarkEnd w:id="10"/>
      <w:bookmarkEnd w:id="11"/>
      <w:bookmarkEnd w:id="12"/>
      <w:bookmarkEnd w:id="13"/>
    </w:p>
    <w:p>
      <w:r>
        <w:rPr>
          <w:rFonts w:ascii="方正小标宋简体" w:hAnsi="宋体" w:eastAsia="方正小标宋简体"/>
          <w:sz w:val="36"/>
          <w:szCs w:val="36"/>
        </w:rPr>
        <w:br w:type="page"/>
      </w: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sz w:val="32"/>
          <w:szCs w:val="32"/>
        </w:rPr>
      </w:pPr>
      <w:bookmarkStart w:id="14" w:name="_Toc113530895"/>
      <w:bookmarkStart w:id="15" w:name="_Toc15396599"/>
      <w:bookmarkStart w:id="16" w:name="_Toc15377196"/>
      <w:r>
        <w:rPr>
          <w:rFonts w:hint="eastAsia" w:ascii="黑体" w:hAnsi="黑体" w:eastAsia="黑体"/>
          <w:b w:val="0"/>
          <w:sz w:val="32"/>
          <w:szCs w:val="32"/>
        </w:rPr>
        <w:t>目录</w:t>
      </w:r>
    </w:p>
    <w:p>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val="0"/>
          <w:sz w:val="32"/>
          <w:szCs w:val="32"/>
        </w:rPr>
      </w:pPr>
      <w:r>
        <w:rPr>
          <w:rFonts w:hint="eastAsia" w:ascii="黑体" w:hAnsi="黑体" w:eastAsia="黑体"/>
          <w:b w:val="0"/>
          <w:sz w:val="32"/>
          <w:szCs w:val="32"/>
        </w:rPr>
        <w:t>公开时间：2022年9月1</w:t>
      </w:r>
      <w:r>
        <w:rPr>
          <w:rFonts w:hint="eastAsia" w:ascii="黑体" w:hAnsi="黑体" w:eastAsia="黑体"/>
          <w:b w:val="0"/>
          <w:sz w:val="32"/>
          <w:szCs w:val="32"/>
          <w:lang w:val="en-US" w:eastAsia="zh-CN"/>
        </w:rPr>
        <w:t>3</w:t>
      </w:r>
      <w:r>
        <w:rPr>
          <w:rFonts w:hint="eastAsia" w:ascii="黑体" w:hAnsi="黑体" w:eastAsia="黑体"/>
          <w:b w:val="0"/>
          <w:sz w:val="32"/>
          <w:szCs w:val="32"/>
        </w:rPr>
        <w:t>日</w:t>
      </w:r>
    </w:p>
    <w:p>
      <w:pPr>
        <w:pStyle w:val="3"/>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b w:val="0"/>
          <w:sz w:val="32"/>
          <w:szCs w:val="32"/>
        </w:rPr>
      </w:pPr>
      <w:r>
        <w:rPr>
          <w:rFonts w:hint="eastAsia" w:ascii="黑体" w:hAnsi="黑体" w:eastAsia="黑体"/>
          <w:b w:val="0"/>
          <w:sz w:val="32"/>
          <w:szCs w:val="32"/>
        </w:rPr>
        <w:t>第一部分部门概况</w:t>
      </w:r>
      <w:r>
        <w:rPr>
          <w:rFonts w:hint="eastAsia" w:ascii="黑体" w:hAnsi="黑体" w:eastAsia="黑体"/>
          <w:b w:val="0"/>
          <w:sz w:val="32"/>
          <w:szCs w:val="32"/>
          <w:lang w:val="en-US" w:eastAsia="zh-CN"/>
        </w:rPr>
        <w:t>.................................</w:t>
      </w:r>
      <w:r>
        <w:rPr>
          <w:rFonts w:hint="eastAsia" w:ascii="黑体" w:hAnsi="黑体" w:eastAsia="黑体"/>
          <w:b w:val="0"/>
          <w:sz w:val="32"/>
          <w:szCs w:val="32"/>
        </w:rPr>
        <w:t>3</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一、基本职能及主要工作</w:t>
      </w:r>
      <w:r>
        <w:rPr>
          <w:rFonts w:hint="eastAsia" w:ascii="黑体" w:hAnsi="黑体" w:eastAsia="黑体"/>
          <w:b w:val="0"/>
          <w:sz w:val="32"/>
          <w:szCs w:val="32"/>
          <w:lang w:val="en-US" w:eastAsia="zh-CN"/>
        </w:rPr>
        <w:t>.......................</w:t>
      </w:r>
      <w:r>
        <w:rPr>
          <w:rFonts w:hint="eastAsia" w:ascii="黑体" w:hAnsi="黑体" w:eastAsia="黑体"/>
          <w:b w:val="0"/>
          <w:sz w:val="32"/>
          <w:szCs w:val="32"/>
        </w:rPr>
        <w:t>3</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二、机构设置</w:t>
      </w:r>
      <w:r>
        <w:rPr>
          <w:rFonts w:hint="eastAsia" w:ascii="黑体" w:hAnsi="黑体" w:eastAsia="黑体"/>
          <w:b w:val="0"/>
          <w:sz w:val="32"/>
          <w:szCs w:val="32"/>
          <w:lang w:val="en-US" w:eastAsia="zh-CN"/>
        </w:rPr>
        <w:t>.................................</w:t>
      </w:r>
      <w:r>
        <w:rPr>
          <w:rFonts w:hint="eastAsia" w:ascii="黑体" w:hAnsi="黑体" w:eastAsia="黑体"/>
          <w:b w:val="0"/>
          <w:sz w:val="32"/>
          <w:szCs w:val="32"/>
        </w:rPr>
        <w:t>6</w:t>
      </w:r>
    </w:p>
    <w:p>
      <w:pPr>
        <w:pStyle w:val="3"/>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b w:val="0"/>
          <w:sz w:val="32"/>
          <w:szCs w:val="32"/>
        </w:rPr>
      </w:pPr>
      <w:r>
        <w:rPr>
          <w:rFonts w:hint="eastAsia" w:ascii="黑体" w:hAnsi="黑体" w:eastAsia="黑体"/>
          <w:b w:val="0"/>
          <w:sz w:val="32"/>
          <w:szCs w:val="32"/>
        </w:rPr>
        <w:t>第二部分2021年度部门决算情况说明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8</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一、收入支出决算总体情况说明</w:t>
      </w:r>
      <w:r>
        <w:rPr>
          <w:rFonts w:hint="eastAsia" w:ascii="黑体" w:hAnsi="黑体" w:eastAsia="黑体"/>
          <w:b w:val="0"/>
          <w:sz w:val="32"/>
          <w:szCs w:val="32"/>
          <w:lang w:val="en-US" w:eastAsia="zh-CN"/>
        </w:rPr>
        <w:t>.................</w:t>
      </w:r>
      <w:r>
        <w:rPr>
          <w:rFonts w:hint="eastAsia" w:ascii="黑体" w:hAnsi="黑体" w:eastAsia="黑体"/>
          <w:b w:val="0"/>
          <w:sz w:val="32"/>
          <w:szCs w:val="32"/>
        </w:rPr>
        <w:t>8</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二、收入决算情况说明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8</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三、支出决算情况说明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9</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四、财政拨款收入支出决算总体情况说明</w:t>
      </w:r>
      <w:r>
        <w:rPr>
          <w:rFonts w:hint="eastAsia" w:ascii="黑体" w:hAnsi="黑体" w:eastAsia="黑体"/>
          <w:b w:val="0"/>
          <w:sz w:val="32"/>
          <w:szCs w:val="32"/>
          <w:lang w:val="en-US" w:eastAsia="zh-CN"/>
        </w:rPr>
        <w:t>........</w:t>
      </w:r>
      <w:r>
        <w:rPr>
          <w:rFonts w:hint="eastAsia" w:ascii="黑体" w:hAnsi="黑体" w:eastAsia="黑体"/>
          <w:b w:val="0"/>
          <w:sz w:val="32"/>
          <w:szCs w:val="32"/>
        </w:rPr>
        <w:t>10</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五、一般公共预算财政拨款支出决算情况说明</w:t>
      </w:r>
      <w:r>
        <w:rPr>
          <w:rFonts w:hint="eastAsia" w:ascii="黑体" w:hAnsi="黑体" w:eastAsia="黑体"/>
          <w:b w:val="0"/>
          <w:sz w:val="32"/>
          <w:szCs w:val="32"/>
        </w:rPr>
        <w:tab/>
      </w:r>
      <w:r>
        <w:rPr>
          <w:rFonts w:hint="eastAsia" w:ascii="黑体" w:hAnsi="黑体" w:eastAsia="黑体"/>
          <w:b w:val="0"/>
          <w:sz w:val="32"/>
          <w:szCs w:val="32"/>
          <w:lang w:val="en-US" w:eastAsia="zh-CN"/>
        </w:rPr>
        <w:t>...</w:t>
      </w:r>
      <w:r>
        <w:rPr>
          <w:rFonts w:hint="eastAsia" w:ascii="黑体" w:hAnsi="黑体" w:eastAsia="黑体"/>
          <w:b w:val="0"/>
          <w:sz w:val="32"/>
          <w:szCs w:val="32"/>
        </w:rPr>
        <w:t>10</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六、一般公共预算财政拨款基本支出决算情况说明13</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七、“三公”经费财政拨款支出决算情况说明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14</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八、政府性基金预算支出决算情况说明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16</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九、 国有资本经营预算支出决算情况说明</w:t>
      </w:r>
      <w:r>
        <w:rPr>
          <w:rFonts w:hint="eastAsia" w:ascii="黑体" w:hAnsi="黑体" w:eastAsia="黑体"/>
          <w:b w:val="0"/>
          <w:sz w:val="32"/>
          <w:szCs w:val="32"/>
          <w:lang w:val="en-US" w:eastAsia="zh-CN"/>
        </w:rPr>
        <w:t>.......</w:t>
      </w:r>
      <w:r>
        <w:rPr>
          <w:rFonts w:hint="eastAsia" w:ascii="黑体" w:hAnsi="黑体" w:eastAsia="黑体"/>
          <w:b w:val="0"/>
          <w:sz w:val="32"/>
          <w:szCs w:val="32"/>
        </w:rPr>
        <w:t>16</w:t>
      </w:r>
    </w:p>
    <w:p>
      <w:pPr>
        <w:pStyle w:val="3"/>
        <w:keepNext/>
        <w:keepLines/>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eastAsia" w:ascii="黑体" w:hAnsi="黑体" w:eastAsia="黑体"/>
          <w:b w:val="0"/>
          <w:sz w:val="32"/>
          <w:szCs w:val="32"/>
        </w:rPr>
      </w:pPr>
      <w:r>
        <w:rPr>
          <w:rFonts w:hint="eastAsia" w:ascii="黑体" w:hAnsi="黑体" w:eastAsia="黑体"/>
          <w:b w:val="0"/>
          <w:sz w:val="32"/>
          <w:szCs w:val="32"/>
        </w:rPr>
        <w:t>十、 其他重要事项的情况说明</w:t>
      </w:r>
      <w:r>
        <w:rPr>
          <w:rFonts w:hint="eastAsia" w:ascii="黑体" w:hAnsi="黑体" w:eastAsia="黑体"/>
          <w:b w:val="0"/>
          <w:sz w:val="32"/>
          <w:szCs w:val="32"/>
          <w:lang w:val="en-US" w:eastAsia="zh-CN"/>
        </w:rPr>
        <w:t>.................</w:t>
      </w:r>
      <w:r>
        <w:rPr>
          <w:rFonts w:hint="eastAsia" w:ascii="黑体" w:hAnsi="黑体" w:eastAsia="黑体"/>
          <w:b w:val="0"/>
          <w:sz w:val="32"/>
          <w:szCs w:val="32"/>
        </w:rPr>
        <w:t>16</w:t>
      </w:r>
    </w:p>
    <w:p>
      <w:pPr>
        <w:pStyle w:val="3"/>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b w:val="0"/>
          <w:sz w:val="32"/>
          <w:szCs w:val="32"/>
        </w:rPr>
      </w:pPr>
      <w:r>
        <w:rPr>
          <w:rFonts w:hint="eastAsia" w:ascii="黑体" w:hAnsi="黑体" w:eastAsia="黑体"/>
          <w:b w:val="0"/>
          <w:sz w:val="32"/>
          <w:szCs w:val="32"/>
        </w:rPr>
        <w:t>第三部分 名词解释</w:t>
      </w:r>
      <w:r>
        <w:rPr>
          <w:rFonts w:hint="eastAsia" w:ascii="黑体" w:hAnsi="黑体" w:eastAsia="黑体"/>
          <w:b w:val="0"/>
          <w:sz w:val="32"/>
          <w:szCs w:val="32"/>
          <w:lang w:val="en-US" w:eastAsia="zh-CN"/>
        </w:rPr>
        <w:t>...............................</w:t>
      </w:r>
      <w:r>
        <w:rPr>
          <w:rFonts w:hint="eastAsia" w:ascii="黑体" w:hAnsi="黑体" w:eastAsia="黑体"/>
          <w:b w:val="0"/>
          <w:sz w:val="32"/>
          <w:szCs w:val="32"/>
        </w:rPr>
        <w:t>18</w:t>
      </w:r>
    </w:p>
    <w:p>
      <w:pPr>
        <w:pStyle w:val="3"/>
        <w:keepNext/>
        <w:keepLines/>
        <w:pageBreakBefore w:val="0"/>
        <w:widowControl w:val="0"/>
        <w:kinsoku/>
        <w:wordWrap/>
        <w:overflowPunct/>
        <w:topLinePunct w:val="0"/>
        <w:autoSpaceDE/>
        <w:autoSpaceDN/>
        <w:bidi w:val="0"/>
        <w:adjustRightInd/>
        <w:snapToGrid/>
        <w:spacing w:line="360" w:lineRule="exact"/>
        <w:jc w:val="both"/>
        <w:textAlignment w:val="auto"/>
        <w:rPr>
          <w:rFonts w:hint="eastAsia" w:ascii="黑体" w:hAnsi="黑体" w:eastAsia="黑体"/>
          <w:b w:val="0"/>
          <w:sz w:val="32"/>
          <w:szCs w:val="32"/>
        </w:rPr>
      </w:pPr>
      <w:r>
        <w:rPr>
          <w:rFonts w:hint="eastAsia" w:ascii="黑体" w:hAnsi="黑体" w:eastAsia="黑体"/>
          <w:b w:val="0"/>
          <w:sz w:val="32"/>
          <w:szCs w:val="32"/>
        </w:rPr>
        <w:t>第四部分附件</w:t>
      </w:r>
      <w:r>
        <w:rPr>
          <w:rFonts w:hint="eastAsia" w:ascii="黑体" w:hAnsi="黑体" w:eastAsia="黑体"/>
          <w:b w:val="0"/>
          <w:sz w:val="32"/>
          <w:szCs w:val="32"/>
          <w:lang w:val="en-US" w:eastAsia="zh-CN"/>
        </w:rPr>
        <w:t>....................................</w:t>
      </w:r>
      <w:r>
        <w:rPr>
          <w:rFonts w:hint="eastAsia" w:ascii="黑体" w:hAnsi="黑体" w:eastAsia="黑体"/>
          <w:b w:val="0"/>
          <w:sz w:val="32"/>
          <w:szCs w:val="32"/>
        </w:rPr>
        <w:t>21</w:t>
      </w:r>
    </w:p>
    <w:p>
      <w:pPr>
        <w:pStyle w:val="3"/>
        <w:keepNext/>
        <w:keepLines/>
        <w:pageBreakBefore w:val="0"/>
        <w:widowControl w:val="0"/>
        <w:kinsoku/>
        <w:wordWrap/>
        <w:overflowPunct/>
        <w:topLinePunct w:val="0"/>
        <w:autoSpaceDE/>
        <w:autoSpaceDN/>
        <w:bidi w:val="0"/>
        <w:adjustRightInd/>
        <w:snapToGrid/>
        <w:spacing w:line="360" w:lineRule="exact"/>
        <w:jc w:val="both"/>
        <w:textAlignment w:val="auto"/>
        <w:rPr>
          <w:rFonts w:ascii="黑体" w:eastAsia="黑体"/>
          <w:sz w:val="32"/>
          <w:szCs w:val="32"/>
        </w:rPr>
      </w:pPr>
      <w:r>
        <w:rPr>
          <w:rFonts w:hint="eastAsia" w:ascii="黑体" w:hAnsi="黑体" w:eastAsia="黑体"/>
          <w:b w:val="0"/>
          <w:sz w:val="32"/>
          <w:szCs w:val="32"/>
        </w:rPr>
        <w:t>第五部分附表</w:t>
      </w:r>
      <w:r>
        <w:rPr>
          <w:rFonts w:hint="eastAsia" w:ascii="黑体" w:hAnsi="黑体" w:eastAsia="黑体"/>
          <w:b w:val="0"/>
          <w:sz w:val="32"/>
          <w:szCs w:val="32"/>
          <w:lang w:val="en-US" w:eastAsia="zh-CN"/>
        </w:rPr>
        <w:t>....................................</w:t>
      </w:r>
      <w:r>
        <w:rPr>
          <w:rFonts w:hint="eastAsia" w:ascii="黑体" w:hAnsi="黑体" w:eastAsia="黑体"/>
          <w:b w:val="0"/>
          <w:sz w:val="32"/>
          <w:szCs w:val="32"/>
        </w:rPr>
        <w:t>43</w:t>
      </w:r>
      <w:bookmarkEnd w:id="14"/>
      <w:bookmarkEnd w:id="15"/>
      <w:bookmarkEnd w:id="16"/>
    </w:p>
    <w:p>
      <w:pPr>
        <w:pStyle w:val="4"/>
        <w:ind w:firstLine="640" w:firstLineChars="200"/>
        <w:rPr>
          <w:rStyle w:val="26"/>
          <w:rFonts w:ascii="仿宋" w:hAnsi="仿宋" w:eastAsia="仿宋"/>
          <w:b w:val="0"/>
          <w:bCs w:val="0"/>
        </w:rPr>
      </w:pPr>
      <w:bookmarkStart w:id="17" w:name="_Toc113530896"/>
      <w:bookmarkStart w:id="18" w:name="_Toc15377197"/>
      <w:bookmarkStart w:id="19"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7"/>
      <w:bookmarkEnd w:id="18"/>
      <w:bookmarkEnd w:id="19"/>
    </w:p>
    <w:p>
      <w:pPr>
        <w:pStyle w:val="2"/>
        <w:adjustRightInd w:val="0"/>
        <w:snapToGrid w:val="0"/>
        <w:spacing w:before="93" w:line="600" w:lineRule="exact"/>
        <w:ind w:firstLine="675" w:firstLineChars="210"/>
        <w:outlineLvl w:val="2"/>
        <w:rPr>
          <w:rFonts w:ascii="仿宋" w:hAnsi="仿宋" w:eastAsia="仿宋"/>
          <w:b/>
          <w:bCs w:val="0"/>
          <w:sz w:val="32"/>
          <w:szCs w:val="32"/>
        </w:rPr>
      </w:pPr>
      <w:bookmarkStart w:id="20" w:name="_Toc113530897"/>
      <w:bookmarkStart w:id="21" w:name="_Toc15378445"/>
      <w:bookmarkStart w:id="22" w:name="_Toc15377198"/>
      <w:r>
        <w:rPr>
          <w:rFonts w:hint="eastAsia" w:ascii="仿宋" w:hAnsi="仿宋" w:eastAsia="仿宋"/>
          <w:b/>
          <w:bCs w:val="0"/>
          <w:sz w:val="32"/>
          <w:szCs w:val="32"/>
        </w:rPr>
        <w:t>（一）主要职能。</w:t>
      </w:r>
      <w:bookmarkEnd w:id="20"/>
      <w:bookmarkEnd w:id="21"/>
      <w:bookmarkEnd w:id="22"/>
    </w:p>
    <w:p>
      <w:pPr>
        <w:spacing w:line="576" w:lineRule="exact"/>
        <w:ind w:firstLine="640" w:firstLineChars="200"/>
        <w:rPr>
          <w:rFonts w:ascii="仿宋_GB2312" w:hAnsi="仿宋" w:eastAsia="仿宋_GB2312"/>
          <w:sz w:val="32"/>
          <w:szCs w:val="32"/>
        </w:rPr>
      </w:pPr>
      <w:r>
        <w:rPr>
          <w:rFonts w:ascii="仿宋_GB2312" w:hAnsi="仿宋" w:eastAsia="仿宋_GB2312"/>
          <w:sz w:val="32"/>
          <w:szCs w:val="32"/>
        </w:rPr>
        <w:t>政务管理局贯彻落实党中央关于政务服务工作的方针政策和省委、市委的决策部署，在履行职责过程中坚持和加强党对政务服务工作的集中统一领导。主要职责是：</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w:t>
      </w:r>
      <w:r>
        <w:rPr>
          <w:rFonts w:ascii="仿宋_GB2312" w:hAnsi="仿宋" w:eastAsia="仿宋_GB2312"/>
          <w:sz w:val="32"/>
          <w:szCs w:val="32"/>
        </w:rPr>
        <w:t>组织拟订全市政务服务、行政审批制度改革和公共资源交易管理服务发展规划、政策和措施并组织、指导实施。</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负责政务服务管理工作。指导、协调并推进全市政务服务体系建设。指导、协调和监督市级部门（单位）政务服务工作。指导、监督相关电子政务服务平台建设和运行工作。对县、区政务服务管理机构进行业务指导。</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ascii="仿宋_GB2312" w:hAnsi="仿宋" w:eastAsia="仿宋_GB2312"/>
          <w:sz w:val="32"/>
          <w:szCs w:val="32"/>
        </w:rPr>
        <w:t>负责指导、协调、监督并推进全市深化行政审批制度改革工作。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ascii="仿宋_GB2312" w:hAnsi="仿宋" w:eastAsia="仿宋_GB2312"/>
          <w:sz w:val="32"/>
          <w:szCs w:val="32"/>
        </w:rPr>
        <w:t>负责公共资源交易服务管理工作。指导、协调并推进全市公共资源交易服务体系建设，牵头负责公共资源交易主体信用体系建设。指导、协调、监督管理公共资源交易服务工作。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w:t>
      </w:r>
      <w:r>
        <w:rPr>
          <w:rFonts w:ascii="仿宋_GB2312" w:hAnsi="仿宋" w:eastAsia="仿宋_GB2312"/>
          <w:sz w:val="32"/>
          <w:szCs w:val="32"/>
        </w:rPr>
        <w:t>指导、协调、监督、考核进驻部门（单位）的政务服务工作，审核进驻政务服务事项，对部门（单位）独立设置的办事大厅进行业务指导和监督。</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6.</w:t>
      </w:r>
      <w:r>
        <w:rPr>
          <w:rFonts w:ascii="仿宋_GB2312" w:hAnsi="仿宋" w:eastAsia="仿宋_GB2312"/>
          <w:sz w:val="32"/>
          <w:szCs w:val="32"/>
        </w:rPr>
        <w:t>按照省、市要求，指导、推进相对集中行政许可权改革。</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w:t>
      </w:r>
      <w:r>
        <w:rPr>
          <w:rFonts w:ascii="仿宋_GB2312" w:hAnsi="仿宋" w:eastAsia="仿宋_GB2312"/>
          <w:sz w:val="32"/>
          <w:szCs w:val="32"/>
        </w:rPr>
        <w:t>负责职责范围的安全生产和职业健康、生态环境保护、审批服务便民化等工作。</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8.</w:t>
      </w:r>
      <w:r>
        <w:rPr>
          <w:rFonts w:ascii="仿宋_GB2312" w:hAnsi="仿宋" w:eastAsia="仿宋_GB2312"/>
          <w:sz w:val="32"/>
          <w:szCs w:val="32"/>
        </w:rPr>
        <w:t>完成市委、市政府交办的其他任务。</w:t>
      </w:r>
    </w:p>
    <w:p>
      <w:pPr>
        <w:pStyle w:val="2"/>
        <w:adjustRightInd w:val="0"/>
        <w:snapToGrid w:val="0"/>
        <w:spacing w:before="93" w:line="600" w:lineRule="exact"/>
        <w:ind w:firstLine="672" w:firstLineChars="210"/>
        <w:outlineLvl w:val="2"/>
        <w:rPr>
          <w:rFonts w:ascii="仿宋" w:hAnsi="仿宋" w:eastAsia="仿宋"/>
          <w:bCs/>
          <w:color w:val="000000"/>
          <w:sz w:val="32"/>
          <w:szCs w:val="32"/>
        </w:rPr>
      </w:pPr>
      <w:bookmarkStart w:id="23" w:name="_Toc113530898"/>
      <w:bookmarkStart w:id="24" w:name="_Toc112832523"/>
      <w:r>
        <w:rPr>
          <w:rFonts w:hint="eastAsia" w:hAnsi="仿宋"/>
          <w:sz w:val="32"/>
          <w:szCs w:val="32"/>
        </w:rPr>
        <w:t>9.</w:t>
      </w:r>
      <w:r>
        <w:rPr>
          <w:rFonts w:hAnsi="仿宋"/>
          <w:sz w:val="32"/>
          <w:szCs w:val="32"/>
        </w:rPr>
        <w:t>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23"/>
      <w:bookmarkEnd w:id="24"/>
    </w:p>
    <w:p>
      <w:pPr>
        <w:pStyle w:val="2"/>
        <w:adjustRightInd w:val="0"/>
        <w:snapToGrid w:val="0"/>
        <w:spacing w:before="93" w:line="600" w:lineRule="exact"/>
        <w:ind w:firstLine="675" w:firstLineChars="210"/>
        <w:outlineLvl w:val="2"/>
        <w:rPr>
          <w:rFonts w:ascii="仿宋" w:hAnsi="仿宋" w:eastAsia="仿宋"/>
          <w:bCs/>
          <w:sz w:val="32"/>
          <w:szCs w:val="32"/>
        </w:rPr>
      </w:pPr>
      <w:bookmarkStart w:id="25" w:name="_Toc113530899"/>
      <w:bookmarkStart w:id="26" w:name="_Toc15377199"/>
      <w:bookmarkStart w:id="27" w:name="_Toc15378446"/>
      <w:r>
        <w:rPr>
          <w:rFonts w:hint="eastAsia" w:ascii="仿宋" w:hAnsi="仿宋" w:eastAsia="仿宋"/>
          <w:b/>
          <w:bCs w:val="0"/>
          <w:sz w:val="32"/>
          <w:szCs w:val="32"/>
        </w:rPr>
        <w:t>（二）</w:t>
      </w:r>
      <w:r>
        <w:rPr>
          <w:rFonts w:ascii="仿宋" w:hAnsi="仿宋" w:eastAsia="仿宋"/>
          <w:b/>
          <w:bCs w:val="0"/>
          <w:sz w:val="32"/>
          <w:szCs w:val="32"/>
        </w:rPr>
        <w:t>20</w:t>
      </w:r>
      <w:r>
        <w:rPr>
          <w:rFonts w:hint="eastAsia" w:ascii="仿宋" w:hAnsi="仿宋" w:eastAsia="仿宋"/>
          <w:b/>
          <w:bCs w:val="0"/>
          <w:sz w:val="32"/>
          <w:szCs w:val="32"/>
        </w:rPr>
        <w:t>21年重点工作完成情况</w:t>
      </w:r>
      <w:r>
        <w:rPr>
          <w:rFonts w:hint="eastAsia" w:ascii="仿宋" w:hAnsi="仿宋" w:eastAsia="仿宋"/>
          <w:bCs/>
          <w:sz w:val="32"/>
          <w:szCs w:val="32"/>
        </w:rPr>
        <w:t>。</w:t>
      </w:r>
      <w:bookmarkEnd w:id="25"/>
      <w:bookmarkEnd w:id="26"/>
      <w:bookmarkEnd w:id="27"/>
    </w:p>
    <w:p>
      <w:pPr>
        <w:autoSpaceDE w:val="0"/>
        <w:autoSpaceDN w:val="0"/>
        <w:adjustRightInd w:val="0"/>
        <w:spacing w:line="540" w:lineRule="exact"/>
        <w:ind w:firstLine="691" w:firstLineChars="200"/>
        <w:rPr>
          <w:rFonts w:ascii="仿宋_GB2312" w:hAnsi="仿宋" w:eastAsia="仿宋_GB2312" w:cs="Times New Roman"/>
          <w:kern w:val="0"/>
          <w:sz w:val="32"/>
          <w:szCs w:val="32"/>
          <w:lang w:val="en-US" w:eastAsia="zh-CN" w:bidi="ar-SA"/>
        </w:rPr>
      </w:pPr>
      <w:r>
        <w:rPr>
          <w:rFonts w:eastAsia="仿宋_GB2312"/>
          <w:b/>
          <w:bCs/>
          <w:spacing w:val="12"/>
          <w:sz w:val="32"/>
        </w:rPr>
        <w:t>1.纵深推进“放管服”改革。</w:t>
      </w:r>
      <w:r>
        <w:rPr>
          <w:rFonts w:ascii="仿宋_GB2312" w:hAnsi="仿宋" w:eastAsia="仿宋_GB2312" w:cs="Times New Roman"/>
          <w:kern w:val="0"/>
          <w:sz w:val="32"/>
          <w:szCs w:val="32"/>
          <w:lang w:val="en-US" w:eastAsia="zh-CN" w:bidi="ar-SA"/>
        </w:rPr>
        <w:t>一是优化投资和工程项目审批。审批事项由原来的87项压减至65项。二是强力提升不动产登记效率和服务水平。三是深化商事制度改革。继续推进“证照分离”改革，将226项企业登记前置审批中的191项改为后置审批或直接取消</w:t>
      </w:r>
      <w:r>
        <w:rPr>
          <w:rFonts w:hint="eastAsia" w:ascii="仿宋_GB2312" w:hAnsi="仿宋" w:eastAsia="仿宋_GB2312" w:cs="Times New Roman"/>
          <w:kern w:val="0"/>
          <w:sz w:val="32"/>
          <w:szCs w:val="32"/>
          <w:lang w:val="en-US" w:eastAsia="zh-CN" w:bidi="ar-SA"/>
        </w:rPr>
        <w:t>。</w:t>
      </w:r>
      <w:r>
        <w:rPr>
          <w:rFonts w:ascii="仿宋_GB2312" w:hAnsi="仿宋" w:eastAsia="仿宋_GB2312" w:cs="Times New Roman"/>
          <w:kern w:val="0"/>
          <w:sz w:val="32"/>
          <w:szCs w:val="32"/>
          <w:lang w:val="en-US" w:eastAsia="zh-CN" w:bidi="ar-SA"/>
        </w:rPr>
        <w:t>四是全面推动政务服务向基层延伸。五是加强“两城”政务服务机构建设指导。</w:t>
      </w:r>
    </w:p>
    <w:p>
      <w:pPr>
        <w:autoSpaceDE w:val="0"/>
        <w:autoSpaceDN w:val="0"/>
        <w:adjustRightInd w:val="0"/>
        <w:spacing w:line="540" w:lineRule="exact"/>
        <w:ind w:firstLine="691"/>
        <w:rPr>
          <w:rFonts w:ascii="仿宋_GB2312" w:hAnsi="仿宋" w:eastAsia="仿宋_GB2312" w:cs="Times New Roman"/>
          <w:kern w:val="0"/>
          <w:sz w:val="32"/>
          <w:szCs w:val="32"/>
          <w:lang w:val="en-US" w:eastAsia="zh-CN" w:bidi="ar-SA"/>
        </w:rPr>
      </w:pPr>
      <w:r>
        <w:rPr>
          <w:rFonts w:eastAsia="仿宋_GB2312"/>
          <w:b/>
          <w:bCs/>
          <w:spacing w:val="12"/>
          <w:sz w:val="32"/>
        </w:rPr>
        <w:t>2.深入推进“一网通办”前提下“最多跑一次”改革，推动实现政务服务“一网办”“一次办”。</w:t>
      </w:r>
      <w:r>
        <w:rPr>
          <w:rFonts w:ascii="仿宋_GB2312" w:hAnsi="仿宋" w:eastAsia="仿宋_GB2312" w:cs="Times New Roman"/>
          <w:kern w:val="0"/>
          <w:sz w:val="32"/>
          <w:szCs w:val="32"/>
          <w:lang w:val="en-US" w:eastAsia="zh-CN" w:bidi="ar-SA"/>
        </w:rPr>
        <w:t>研究制定了《攀枝花市“一网通办”能力提升集中攻坚行动实施方案》，推动实现全市10627项政务服务事项办理全流程“最多跑一次”，占事项总数的99.97%，10624项政务服务事项实现网上可办，占事项总数的99.95%。</w:t>
      </w:r>
    </w:p>
    <w:p>
      <w:pPr>
        <w:autoSpaceDE w:val="0"/>
        <w:autoSpaceDN w:val="0"/>
        <w:adjustRightInd w:val="0"/>
        <w:spacing w:line="540" w:lineRule="exact"/>
        <w:ind w:firstLine="691"/>
        <w:rPr>
          <w:rFonts w:eastAsia="仿宋_GB2312"/>
          <w:b/>
          <w:bCs/>
          <w:spacing w:val="12"/>
          <w:sz w:val="32"/>
        </w:rPr>
      </w:pPr>
      <w:r>
        <w:rPr>
          <w:rFonts w:eastAsia="仿宋_GB2312"/>
          <w:b/>
          <w:bCs/>
          <w:spacing w:val="12"/>
          <w:sz w:val="32"/>
        </w:rPr>
        <w:t>3.强化政务大厅建设管理</w:t>
      </w:r>
    </w:p>
    <w:p>
      <w:pPr>
        <w:autoSpaceDE w:val="0"/>
        <w:autoSpaceDN w:val="0"/>
        <w:adjustRightInd w:val="0"/>
        <w:spacing w:line="540" w:lineRule="exact"/>
        <w:ind w:firstLine="688"/>
        <w:rPr>
          <w:rFonts w:ascii="仿宋_GB2312" w:hAnsi="仿宋" w:eastAsia="仿宋_GB2312" w:cs="Times New Roman"/>
          <w:kern w:val="0"/>
          <w:sz w:val="32"/>
          <w:szCs w:val="32"/>
          <w:lang w:val="en-US" w:eastAsia="zh-CN" w:bidi="ar-SA"/>
        </w:rPr>
      </w:pPr>
      <w:r>
        <w:rPr>
          <w:rFonts w:eastAsia="仿宋_GB2312"/>
          <w:spacing w:val="12"/>
          <w:sz w:val="32"/>
        </w:rPr>
        <w:t>（</w:t>
      </w:r>
      <w:r>
        <w:rPr>
          <w:rFonts w:ascii="仿宋_GB2312" w:hAnsi="仿宋" w:eastAsia="仿宋_GB2312" w:cs="Times New Roman"/>
          <w:kern w:val="0"/>
          <w:sz w:val="32"/>
          <w:szCs w:val="32"/>
          <w:lang w:val="en-US" w:eastAsia="zh-CN" w:bidi="ar-SA"/>
        </w:rPr>
        <w:t>1）</w:t>
      </w:r>
      <w:r>
        <w:rPr>
          <w:rFonts w:eastAsia="仿宋_GB2312"/>
          <w:spacing w:val="12"/>
          <w:sz w:val="32"/>
        </w:rPr>
        <w:t>完成市政务服务大厅新址搬迁工作。（</w:t>
      </w:r>
      <w:r>
        <w:rPr>
          <w:rFonts w:ascii="仿宋_GB2312" w:hAnsi="仿宋" w:eastAsia="仿宋_GB2312" w:cs="Times New Roman"/>
          <w:kern w:val="0"/>
          <w:sz w:val="32"/>
          <w:szCs w:val="32"/>
          <w:lang w:val="en-US" w:eastAsia="zh-CN" w:bidi="ar-SA"/>
        </w:rPr>
        <w:t>2）设立市、县、乡三级“办不成事”窗口，解决堵点、难点问题104件。（3）分类实施跨域通办改革，推动实现政务服务“异地可办”。一是设立跨域通办综合服务窗口。全市共计229项实现“省内通办”，210项实现“川渝通办”，148项实现“跨省通办”，并纳入综合服务窗口。二是探索推行异地远程代收代办审批服务模式。（</w:t>
      </w:r>
      <w:r>
        <w:rPr>
          <w:rFonts w:hint="eastAsia" w:ascii="仿宋_GB2312" w:hAnsi="仿宋" w:eastAsia="仿宋_GB2312" w:cs="Times New Roman"/>
          <w:kern w:val="0"/>
          <w:sz w:val="32"/>
          <w:szCs w:val="32"/>
          <w:lang w:val="en-US" w:eastAsia="zh-CN" w:bidi="ar-SA"/>
        </w:rPr>
        <w:t>4</w:t>
      </w:r>
      <w:r>
        <w:rPr>
          <w:rFonts w:ascii="仿宋_GB2312" w:hAnsi="仿宋" w:eastAsia="仿宋_GB2312" w:cs="Times New Roman"/>
          <w:kern w:val="0"/>
          <w:sz w:val="32"/>
          <w:szCs w:val="32"/>
          <w:lang w:val="en-US" w:eastAsia="zh-CN" w:bidi="ar-SA"/>
        </w:rPr>
        <w:t>）持续创新优化审批服务方式。一是大力开展邮寄办。全年邮寄办件2000余件次。二是全面推行7×24小时自助政务服务。为企业群众提供全天候“不打烊”服务，自助办件2万余件次。三是健全完善帮办代办服务机制。全年提供帮代办7000余件次。四是针对特殊群体推出“预约上门”办。</w:t>
      </w:r>
      <w:r>
        <w:rPr>
          <w:rFonts w:hint="eastAsia" w:ascii="仿宋_GB2312" w:hAnsi="仿宋" w:eastAsia="仿宋_GB2312" w:cs="Times New Roman"/>
          <w:kern w:val="0"/>
          <w:sz w:val="32"/>
          <w:szCs w:val="32"/>
          <w:lang w:val="en-US" w:eastAsia="zh-CN" w:bidi="ar-SA"/>
        </w:rPr>
        <w:t>2021年</w:t>
      </w:r>
      <w:r>
        <w:rPr>
          <w:rFonts w:ascii="仿宋_GB2312" w:hAnsi="仿宋" w:eastAsia="仿宋_GB2312" w:cs="Times New Roman"/>
          <w:kern w:val="0"/>
          <w:sz w:val="32"/>
          <w:szCs w:val="32"/>
          <w:lang w:val="en-US" w:eastAsia="zh-CN" w:bidi="ar-SA"/>
        </w:rPr>
        <w:t>共派出80余名工作人员，为2157个家庭提供了上门服务。</w:t>
      </w:r>
    </w:p>
    <w:p>
      <w:pPr>
        <w:autoSpaceDE w:val="0"/>
        <w:autoSpaceDN w:val="0"/>
        <w:adjustRightInd w:val="0"/>
        <w:spacing w:line="540" w:lineRule="exact"/>
        <w:ind w:firstLine="691"/>
        <w:rPr>
          <w:rFonts w:eastAsia="仿宋_GB2312"/>
          <w:b/>
          <w:bCs/>
          <w:spacing w:val="12"/>
          <w:sz w:val="32"/>
        </w:rPr>
      </w:pPr>
      <w:r>
        <w:rPr>
          <w:rFonts w:eastAsia="仿宋_GB2312"/>
          <w:b/>
          <w:bCs/>
          <w:spacing w:val="12"/>
          <w:sz w:val="32"/>
        </w:rPr>
        <w:t>4.优化公共资源交易功能</w:t>
      </w:r>
    </w:p>
    <w:p>
      <w:pPr>
        <w:autoSpaceDE w:val="0"/>
        <w:autoSpaceDN w:val="0"/>
        <w:adjustRightInd w:val="0"/>
        <w:spacing w:line="540" w:lineRule="exact"/>
        <w:ind w:firstLine="688"/>
        <w:rPr>
          <w:rFonts w:ascii="仿宋_GB2312" w:hAnsi="仿宋" w:eastAsia="仿宋_GB2312" w:cs="Times New Roman"/>
          <w:kern w:val="0"/>
          <w:sz w:val="32"/>
          <w:szCs w:val="32"/>
          <w:lang w:val="en-US" w:eastAsia="zh-CN" w:bidi="ar-SA"/>
        </w:rPr>
      </w:pPr>
      <w:r>
        <w:rPr>
          <w:rFonts w:ascii="仿宋_GB2312" w:hAnsi="仿宋" w:eastAsia="仿宋_GB2312" w:cs="Times New Roman"/>
          <w:kern w:val="0"/>
          <w:sz w:val="32"/>
          <w:szCs w:val="32"/>
          <w:lang w:val="en-US" w:eastAsia="zh-CN" w:bidi="ar-SA"/>
        </w:rPr>
        <w:t>（1）优化实体交易场所功能布局。今年2月正式投入使用的8000余平方米公共资源交易场所，划分为若干功能区域，对敏感区域全部采用“物理隔离”方式实行“全封闭式”管理，全部使用脸谱识别和指纹识别相结合的门禁系统。</w:t>
      </w:r>
    </w:p>
    <w:p>
      <w:pPr>
        <w:autoSpaceDE w:val="0"/>
        <w:autoSpaceDN w:val="0"/>
        <w:adjustRightInd w:val="0"/>
        <w:spacing w:line="540" w:lineRule="exact"/>
        <w:ind w:firstLine="688"/>
        <w:rPr>
          <w:rFonts w:ascii="仿宋_GB2312" w:hAnsi="仿宋" w:eastAsia="仿宋_GB2312" w:cs="Times New Roman"/>
          <w:kern w:val="0"/>
          <w:sz w:val="32"/>
          <w:szCs w:val="32"/>
          <w:lang w:val="en-US" w:eastAsia="zh-CN" w:bidi="ar-SA"/>
        </w:rPr>
      </w:pPr>
      <w:r>
        <w:rPr>
          <w:rFonts w:ascii="仿宋_GB2312" w:hAnsi="仿宋" w:eastAsia="仿宋_GB2312" w:cs="Times New Roman"/>
          <w:kern w:val="0"/>
          <w:sz w:val="32"/>
          <w:szCs w:val="32"/>
          <w:lang w:val="en-US" w:eastAsia="zh-CN" w:bidi="ar-SA"/>
        </w:rPr>
        <w:t>（2）完善公共资源交易平台功能。一是将“不见面”开评标改革向工程项目招投标领域延伸，推动实现全流程电子化。今年以来，共实施工程项目“不见面”开评标34个，涉及金额1.73亿元。二是紧扣“三个圈层”发展战略，分别与5个县（区）、2个市州、8个省内外城市达成异地远程评标合作协议，实现多地评审专家资源互通共享。今年以来，共开展远程异地评标项目38个，其中主场项目19个，涉及金额0.59亿元。三是全面开通网上公共资源交易平台远程投标、保证金缴退等服务功能，开放保证金保函保险业务。今年以来，共受理交易项目 466 个，成交 399 个，涉及金额 39.87亿元，为市财政节资增收1.57亿元；收到保证金1684笔，其中采用保函方式缴纳保证金1000笔，占比达59.38%。</w:t>
      </w:r>
    </w:p>
    <w:p>
      <w:pPr>
        <w:autoSpaceDE w:val="0"/>
        <w:autoSpaceDN w:val="0"/>
        <w:adjustRightInd w:val="0"/>
        <w:spacing w:line="540" w:lineRule="exact"/>
        <w:ind w:firstLine="688"/>
        <w:rPr>
          <w:rFonts w:ascii="仿宋_GB2312" w:hAnsi="仿宋" w:eastAsia="仿宋_GB2312" w:cs="Times New Roman"/>
          <w:kern w:val="0"/>
          <w:sz w:val="32"/>
          <w:szCs w:val="32"/>
          <w:lang w:val="en-US" w:eastAsia="zh-CN" w:bidi="ar-SA"/>
        </w:rPr>
      </w:pPr>
      <w:bookmarkStart w:id="28" w:name="_Toc113530900"/>
      <w:r>
        <w:rPr>
          <w:rFonts w:ascii="仿宋_GB2312" w:hAnsi="仿宋" w:eastAsia="仿宋_GB2312" w:cs="Times New Roman"/>
          <w:kern w:val="0"/>
          <w:sz w:val="32"/>
          <w:szCs w:val="32"/>
          <w:lang w:val="en-US" w:eastAsia="zh-CN" w:bidi="ar-SA"/>
        </w:rPr>
        <w:t>（3）加大廉政风险防范力度。一是对实体交易场所电子监控系统全面升级改造，实现360°无死角同步音频视频监控。二是建立廉政风险排查和防控“两张”清单，设定26个廉政风险点风险等级并制定防控措施。三是紧盯重点环节和关键岗位，采取“电子监督+现场巡查”相结合的方式，实施全程监督。四是深入开展工程招投标和政府采购领域突出问题系统治理专项行动。五是定制变声询价采购系统，推动实现询价采购全过程竞标方和评标专家不见面。</w:t>
      </w:r>
      <w:bookmarkEnd w:id="28"/>
    </w:p>
    <w:p>
      <w:pPr>
        <w:pStyle w:val="4"/>
        <w:ind w:firstLine="640" w:firstLineChars="200"/>
        <w:rPr>
          <w:rStyle w:val="26"/>
          <w:b w:val="0"/>
          <w:bCs w:val="0"/>
        </w:rPr>
      </w:pPr>
      <w:bookmarkStart w:id="29" w:name="_Toc15377200"/>
      <w:bookmarkStart w:id="30" w:name="_Toc113530901"/>
      <w:bookmarkStart w:id="31"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9"/>
      <w:bookmarkEnd w:id="30"/>
      <w:bookmarkEnd w:id="31"/>
    </w:p>
    <w:p>
      <w:pPr>
        <w:pStyle w:val="31"/>
        <w:spacing w:before="0" w:beforeAutospacing="0" w:after="0" w:afterAutospacing="0"/>
        <w:ind w:firstLine="639"/>
        <w:jc w:val="both"/>
        <w:rPr>
          <w:rFonts w:ascii="仿宋_GB2312" w:eastAsia="仿宋_GB2312"/>
          <w:color w:val="333333"/>
          <w:sz w:val="32"/>
          <w:szCs w:val="32"/>
        </w:rPr>
      </w:pPr>
      <w:r>
        <w:rPr>
          <w:rFonts w:hint="eastAsia" w:ascii="仿宋_GB2312" w:eastAsia="仿宋_GB2312"/>
          <w:color w:val="333333"/>
          <w:sz w:val="32"/>
          <w:szCs w:val="32"/>
        </w:rPr>
        <w:t>市政务服务管理局</w:t>
      </w:r>
      <w:r>
        <w:rPr>
          <w:rStyle w:val="32"/>
          <w:rFonts w:ascii="Times New Roman" w:hAnsi="Times New Roman" w:eastAsia="仿宋_GB2312" w:cs="Times New Roman"/>
          <w:color w:val="333333"/>
          <w:sz w:val="32"/>
          <w:szCs w:val="32"/>
        </w:rPr>
        <w:t>下属二级单位2个，其中行政单位0个，参照公务员法管理的事业单位0个，其他事业单位2个。</w:t>
      </w:r>
    </w:p>
    <w:p>
      <w:pPr>
        <w:pStyle w:val="33"/>
        <w:spacing w:before="0" w:beforeAutospacing="0" w:after="0" w:afterAutospacing="0"/>
        <w:ind w:firstLine="639"/>
        <w:jc w:val="both"/>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纳入2021年度部门决算编制范围的二级预算单位包括：</w:t>
      </w:r>
    </w:p>
    <w:p>
      <w:pPr>
        <w:pStyle w:val="35"/>
        <w:spacing w:before="0" w:beforeAutospacing="0" w:after="0" w:afterAutospacing="0"/>
        <w:ind w:firstLine="639"/>
        <w:rPr>
          <w:rFonts w:hint="eastAsia" w:ascii="仿宋_GB2312" w:hAnsi="宋体" w:eastAsia="仿宋_GB2312" w:cs="宋体"/>
          <w:color w:val="333333"/>
          <w:kern w:val="0"/>
          <w:sz w:val="32"/>
          <w:szCs w:val="32"/>
          <w:lang w:val="en-US" w:eastAsia="zh-CN" w:bidi="ar-SA"/>
        </w:rPr>
      </w:pPr>
      <w:r>
        <w:rPr>
          <w:rFonts w:hint="eastAsia" w:ascii="仿宋_GB2312" w:hAnsi="宋体" w:eastAsia="仿宋_GB2312" w:cs="宋体"/>
          <w:color w:val="333333"/>
          <w:kern w:val="0"/>
          <w:sz w:val="32"/>
          <w:szCs w:val="32"/>
          <w:lang w:val="en-US" w:eastAsia="zh-CN" w:bidi="ar-SA"/>
        </w:rPr>
        <w:t>攀枝花市公共资源交易服务中心</w:t>
      </w:r>
    </w:p>
    <w:p>
      <w:pPr>
        <w:widowControl/>
        <w:jc w:val="left"/>
        <w:rPr>
          <w:rFonts w:ascii="仿宋" w:hAnsi="仿宋" w:eastAsia="仿宋"/>
          <w:kern w:val="0"/>
          <w:sz w:val="32"/>
          <w:szCs w:val="32"/>
        </w:rPr>
      </w:pPr>
      <w:r>
        <w:rPr>
          <w:rFonts w:ascii="仿宋" w:hAnsi="仿宋" w:eastAsia="仿宋"/>
          <w:sz w:val="32"/>
          <w:szCs w:val="32"/>
        </w:rPr>
        <w:br w:type="page"/>
      </w:r>
      <w:bookmarkStart w:id="125" w:name="_GoBack"/>
      <w:bookmarkEnd w:id="125"/>
    </w:p>
    <w:p>
      <w:pPr>
        <w:pStyle w:val="3"/>
        <w:ind w:right="440"/>
        <w:jc w:val="center"/>
        <w:rPr>
          <w:rStyle w:val="25"/>
          <w:rFonts w:ascii="黑体" w:hAnsi="黑体" w:eastAsia="黑体"/>
          <w:b w:val="0"/>
          <w:bCs/>
        </w:rPr>
      </w:pPr>
      <w:bookmarkStart w:id="32" w:name="_Toc15377204"/>
      <w:bookmarkStart w:id="33" w:name="_Toc15396602"/>
      <w:bookmarkStart w:id="34" w:name="_Toc113530902"/>
      <w:r>
        <w:rPr>
          <w:rFonts w:hint="eastAsia" w:ascii="黑体" w:hAnsi="黑体" w:eastAsia="黑体"/>
          <w:b w:val="0"/>
        </w:rPr>
        <w:t>第二部分2021年度</w:t>
      </w:r>
      <w:r>
        <w:rPr>
          <w:rStyle w:val="25"/>
          <w:rFonts w:hint="eastAsia" w:ascii="黑体" w:hAnsi="黑体" w:eastAsia="黑体"/>
          <w:b w:val="0"/>
          <w:bCs/>
        </w:rPr>
        <w:t>部门决算情况说明</w:t>
      </w:r>
      <w:bookmarkEnd w:id="32"/>
      <w:bookmarkEnd w:id="33"/>
      <w:bookmarkEnd w:id="34"/>
    </w:p>
    <w:p/>
    <w:p>
      <w:pPr>
        <w:pStyle w:val="24"/>
        <w:numPr>
          <w:ilvl w:val="0"/>
          <w:numId w:val="1"/>
        </w:numPr>
        <w:spacing w:line="600" w:lineRule="exact"/>
        <w:ind w:firstLineChars="0"/>
        <w:outlineLvl w:val="1"/>
        <w:rPr>
          <w:rStyle w:val="26"/>
          <w:rFonts w:ascii="黑体" w:hAnsi="黑体" w:eastAsia="黑体"/>
          <w:b w:val="0"/>
        </w:rPr>
      </w:pPr>
      <w:bookmarkStart w:id="35" w:name="_Toc15396603"/>
      <w:bookmarkStart w:id="36" w:name="_Toc113530903"/>
      <w:bookmarkStart w:id="37"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35"/>
      <w:bookmarkEnd w:id="36"/>
      <w:bookmarkEnd w:id="37"/>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2021年度收、支总计2002.6万元。与2020年相比，收、支总计各减少652.86万元，下降24.59</w:t>
      </w:r>
      <w:r>
        <w:rPr>
          <w:rFonts w:ascii="仿宋" w:hAnsi="仿宋" w:eastAsia="仿宋"/>
          <w:sz w:val="32"/>
          <w:szCs w:val="32"/>
        </w:rPr>
        <w:t>%</w:t>
      </w:r>
      <w:r>
        <w:rPr>
          <w:rFonts w:hint="eastAsia" w:ascii="仿宋" w:hAnsi="仿宋" w:eastAsia="仿宋"/>
          <w:sz w:val="32"/>
          <w:szCs w:val="32"/>
        </w:rPr>
        <w:t>。主要变动原因是减少工程建设改革项目增加系统建设及运行维护资金及压缩开支。</w:t>
      </w:r>
    </w:p>
    <w:p>
      <w:pPr>
        <w:pStyle w:val="2"/>
        <w:spacing w:before="93"/>
        <w:ind w:firstLine="1950" w:firstLineChars="650"/>
      </w:pPr>
      <w:r>
        <w:drawing>
          <wp:inline distT="0" distB="0" distL="0" distR="0">
            <wp:extent cx="3467735" cy="35147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3469970" cy="3516880"/>
                    </a:xfrm>
                    <a:prstGeom prst="rect">
                      <a:avLst/>
                    </a:prstGeom>
                    <a:noFill/>
                    <a:ln w="9525">
                      <a:noFill/>
                      <a:miter lim="800000"/>
                      <a:headEnd/>
                      <a:tailEnd/>
                    </a:ln>
                  </pic:spPr>
                </pic:pic>
              </a:graphicData>
            </a:graphic>
          </wp:inline>
        </w:drawing>
      </w:r>
    </w:p>
    <w:p>
      <w:pPr>
        <w:spacing w:line="600" w:lineRule="exact"/>
        <w:ind w:firstLine="1440" w:firstLineChars="45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38" w:name="_Toc15396604"/>
      <w:bookmarkStart w:id="39" w:name="_Toc113530904"/>
      <w:bookmarkStart w:id="40" w:name="_Toc15377206"/>
      <w:r>
        <w:rPr>
          <w:rFonts w:hint="eastAsia" w:ascii="黑体" w:hAnsi="黑体" w:eastAsia="黑体"/>
          <w:sz w:val="32"/>
          <w:szCs w:val="32"/>
        </w:rPr>
        <w:t>收</w:t>
      </w:r>
      <w:r>
        <w:rPr>
          <w:rStyle w:val="26"/>
          <w:rFonts w:hint="eastAsia" w:ascii="黑体" w:hAnsi="黑体" w:eastAsia="黑体"/>
          <w:b w:val="0"/>
        </w:rPr>
        <w:t>入决算情况说明</w:t>
      </w:r>
      <w:bookmarkEnd w:id="38"/>
      <w:bookmarkEnd w:id="39"/>
      <w:bookmarkEnd w:id="40"/>
    </w:p>
    <w:p>
      <w:pPr>
        <w:spacing w:line="600" w:lineRule="exact"/>
        <w:ind w:firstLine="640" w:firstLineChars="200"/>
        <w:outlineLvl w:val="1"/>
        <w:rPr>
          <w:rFonts w:ascii="仿宋" w:hAnsi="仿宋" w:eastAsia="仿宋"/>
          <w:sz w:val="32"/>
          <w:szCs w:val="32"/>
        </w:rPr>
      </w:pPr>
      <w:bookmarkStart w:id="41" w:name="_Toc113530905"/>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1482</w:t>
      </w:r>
      <w:r>
        <w:rPr>
          <w:rFonts w:hint="eastAsia" w:ascii="仿宋" w:hAnsi="仿宋" w:eastAsia="仿宋"/>
          <w:sz w:val="32"/>
          <w:szCs w:val="32"/>
        </w:rPr>
        <w:t>万元，其中：一般公共预算财政拨款收入</w:t>
      </w:r>
      <w:r>
        <w:rPr>
          <w:rFonts w:ascii="仿宋" w:hAnsi="仿宋" w:eastAsia="仿宋"/>
          <w:sz w:val="32"/>
          <w:szCs w:val="32"/>
        </w:rPr>
        <w:t>1481.96</w:t>
      </w:r>
      <w:r>
        <w:rPr>
          <w:rFonts w:hint="eastAsia" w:ascii="仿宋" w:hAnsi="仿宋" w:eastAsia="仿宋"/>
          <w:sz w:val="32"/>
          <w:szCs w:val="32"/>
        </w:rPr>
        <w:t>万元，占99.9</w:t>
      </w:r>
      <w:r>
        <w:rPr>
          <w:rFonts w:ascii="仿宋" w:hAnsi="仿宋" w:eastAsia="仿宋"/>
          <w:sz w:val="32"/>
          <w:szCs w:val="32"/>
        </w:rPr>
        <w:t>%</w:t>
      </w:r>
      <w:r>
        <w:rPr>
          <w:rFonts w:hint="eastAsia" w:ascii="仿宋" w:hAnsi="仿宋" w:eastAsia="仿宋"/>
          <w:sz w:val="32"/>
          <w:szCs w:val="32"/>
        </w:rPr>
        <w:t>；其他收入0.03万元，占0.1</w:t>
      </w:r>
      <w:r>
        <w:rPr>
          <w:rFonts w:ascii="仿宋" w:hAnsi="仿宋" w:eastAsia="仿宋"/>
          <w:sz w:val="32"/>
          <w:szCs w:val="32"/>
        </w:rPr>
        <w:t>%</w:t>
      </w:r>
      <w:r>
        <w:rPr>
          <w:rFonts w:hint="eastAsia" w:ascii="仿宋" w:hAnsi="仿宋" w:eastAsia="仿宋"/>
          <w:sz w:val="32"/>
          <w:szCs w:val="32"/>
        </w:rPr>
        <w:t>。</w:t>
      </w:r>
      <w:bookmarkEnd w:id="41"/>
    </w:p>
    <w:p>
      <w:pPr>
        <w:pStyle w:val="2"/>
        <w:spacing w:before="93"/>
        <w:ind w:firstLine="1650" w:firstLineChars="550"/>
      </w:pPr>
      <w:r>
        <w:drawing>
          <wp:inline distT="0" distB="0" distL="0" distR="0">
            <wp:extent cx="3788410" cy="3558540"/>
            <wp:effectExtent l="19050" t="0" r="2412"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3791413" cy="3561447"/>
                    </a:xfrm>
                    <a:prstGeom prst="rect">
                      <a:avLst/>
                    </a:prstGeom>
                    <a:noFill/>
                    <a:ln w="9525">
                      <a:noFill/>
                      <a:miter lim="800000"/>
                      <a:headEnd/>
                      <a:tailEnd/>
                    </a:ln>
                  </pic:spPr>
                </pic:pic>
              </a:graphicData>
            </a:graphic>
          </wp:inline>
        </w:drawing>
      </w:r>
    </w:p>
    <w:p>
      <w:pPr>
        <w:spacing w:line="600" w:lineRule="exact"/>
        <w:ind w:firstLine="1920" w:firstLineChars="600"/>
        <w:rPr>
          <w:rFonts w:ascii="仿宋" w:hAnsi="仿宋" w:eastAsia="仿宋"/>
          <w:sz w:val="32"/>
          <w:szCs w:val="32"/>
        </w:rPr>
      </w:pPr>
      <w:r>
        <w:rPr>
          <w:rFonts w:hint="eastAsia" w:ascii="仿宋" w:hAnsi="仿宋" w:eastAsia="仿宋"/>
          <w:sz w:val="32"/>
          <w:szCs w:val="32"/>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42" w:name="_Toc15396605"/>
      <w:bookmarkStart w:id="43" w:name="_Toc15377207"/>
      <w:bookmarkStart w:id="44" w:name="_Toc113530906"/>
      <w:r>
        <w:rPr>
          <w:rFonts w:hint="eastAsia" w:ascii="黑体" w:hAnsi="黑体" w:eastAsia="黑体"/>
          <w:sz w:val="32"/>
          <w:szCs w:val="32"/>
        </w:rPr>
        <w:t>支</w:t>
      </w:r>
      <w:r>
        <w:rPr>
          <w:rStyle w:val="26"/>
          <w:rFonts w:hint="eastAsia" w:ascii="黑体" w:hAnsi="黑体" w:eastAsia="黑体"/>
          <w:b w:val="0"/>
        </w:rPr>
        <w:t>出决算情况说明</w:t>
      </w:r>
      <w:bookmarkEnd w:id="42"/>
      <w:bookmarkEnd w:id="43"/>
      <w:bookmarkEnd w:id="44"/>
    </w:p>
    <w:p>
      <w:pPr>
        <w:spacing w:line="600" w:lineRule="exact"/>
        <w:ind w:firstLine="640" w:firstLineChars="200"/>
        <w:outlineLvl w:val="1"/>
        <w:rPr>
          <w:rFonts w:ascii="仿宋" w:hAnsi="仿宋" w:eastAsia="仿宋"/>
          <w:sz w:val="32"/>
          <w:szCs w:val="32"/>
        </w:rPr>
      </w:pPr>
      <w:bookmarkStart w:id="45" w:name="_Toc113530907"/>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1991.9</w:t>
      </w:r>
      <w:r>
        <w:rPr>
          <w:rFonts w:hint="eastAsia" w:ascii="仿宋" w:hAnsi="仿宋" w:eastAsia="仿宋"/>
          <w:sz w:val="32"/>
          <w:szCs w:val="32"/>
        </w:rPr>
        <w:t>万元，其中：基本支出</w:t>
      </w:r>
      <w:r>
        <w:rPr>
          <w:rFonts w:ascii="仿宋" w:hAnsi="仿宋" w:eastAsia="仿宋"/>
          <w:sz w:val="32"/>
          <w:szCs w:val="32"/>
        </w:rPr>
        <w:t>793.07</w:t>
      </w:r>
      <w:r>
        <w:rPr>
          <w:rFonts w:hint="eastAsia" w:ascii="仿宋" w:hAnsi="仿宋" w:eastAsia="仿宋"/>
          <w:sz w:val="32"/>
          <w:szCs w:val="32"/>
        </w:rPr>
        <w:t>万元，占39.81</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1198.83</w:t>
      </w:r>
      <w:r>
        <w:rPr>
          <w:rFonts w:hint="eastAsia" w:ascii="仿宋" w:hAnsi="仿宋" w:eastAsia="仿宋"/>
          <w:sz w:val="32"/>
          <w:szCs w:val="32"/>
        </w:rPr>
        <w:t>万元，占60.19</w:t>
      </w:r>
      <w:r>
        <w:rPr>
          <w:rFonts w:ascii="仿宋" w:hAnsi="仿宋" w:eastAsia="仿宋"/>
          <w:sz w:val="32"/>
          <w:szCs w:val="32"/>
        </w:rPr>
        <w:t>%</w:t>
      </w:r>
      <w:r>
        <w:rPr>
          <w:rFonts w:hint="eastAsia" w:ascii="仿宋" w:hAnsi="仿宋" w:eastAsia="仿宋"/>
          <w:sz w:val="32"/>
          <w:szCs w:val="32"/>
        </w:rPr>
        <w:t>。</w:t>
      </w:r>
      <w:bookmarkEnd w:id="45"/>
      <w:r>
        <w:rPr>
          <w:rFonts w:ascii="仿宋" w:hAnsi="仿宋" w:eastAsia="仿宋"/>
          <w:sz w:val="32"/>
          <w:szCs w:val="32"/>
        </w:rPr>
        <w:t xml:space="preserve"> </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646430</wp:posOffset>
            </wp:positionH>
            <wp:positionV relativeFrom="paragraph">
              <wp:posOffset>33655</wp:posOffset>
            </wp:positionV>
            <wp:extent cx="4347845" cy="2973705"/>
            <wp:effectExtent l="1905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srcRect/>
                    <a:stretch>
                      <a:fillRect/>
                    </a:stretch>
                  </pic:blipFill>
                  <pic:spPr>
                    <a:xfrm>
                      <a:off x="0" y="0"/>
                      <a:ext cx="4347564" cy="2973839"/>
                    </a:xfrm>
                    <a:prstGeom prst="rect">
                      <a:avLst/>
                    </a:prstGeom>
                    <a:noFill/>
                    <a:ln w="9525">
                      <a:noFill/>
                      <a:miter lim="800000"/>
                      <a:headEnd/>
                      <a:tailEnd/>
                    </a:ln>
                  </pic:spPr>
                </pic:pic>
              </a:graphicData>
            </a:graphic>
          </wp:anchor>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pStyle w:val="2"/>
        <w:spacing w:before="93"/>
      </w:pPr>
    </w:p>
    <w:p>
      <w:pPr>
        <w:pStyle w:val="2"/>
        <w:spacing w:before="93"/>
      </w:pPr>
    </w:p>
    <w:p>
      <w:pPr>
        <w:pStyle w:val="2"/>
        <w:spacing w:before="93"/>
      </w:pP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（图3：支出决算结构图）（饼状图）</w:t>
      </w:r>
    </w:p>
    <w:p>
      <w:pPr>
        <w:pStyle w:val="2"/>
        <w:spacing w:before="93"/>
      </w:pPr>
    </w:p>
    <w:p>
      <w:pPr>
        <w:spacing w:line="600" w:lineRule="exact"/>
        <w:ind w:firstLine="640" w:firstLineChars="200"/>
        <w:outlineLvl w:val="1"/>
        <w:rPr>
          <w:rStyle w:val="26"/>
          <w:rFonts w:ascii="黑体" w:hAnsi="黑体" w:eastAsia="黑体"/>
          <w:b w:val="0"/>
        </w:rPr>
      </w:pPr>
      <w:bookmarkStart w:id="46" w:name="_Toc15396606"/>
      <w:bookmarkStart w:id="47" w:name="_Toc113530908"/>
      <w:bookmarkStart w:id="48"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46"/>
      <w:bookmarkEnd w:id="47"/>
      <w:bookmarkEnd w:id="4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21年财政拨款收、支总计2002.6万元。与2020年相比，收、支总计各减少652.86万元，下降24.59</w:t>
      </w:r>
      <w:r>
        <w:rPr>
          <w:rFonts w:ascii="仿宋" w:hAnsi="仿宋" w:eastAsia="仿宋"/>
          <w:sz w:val="32"/>
          <w:szCs w:val="32"/>
        </w:rPr>
        <w:t>%</w:t>
      </w:r>
      <w:r>
        <w:rPr>
          <w:rFonts w:hint="eastAsia" w:ascii="仿宋" w:hAnsi="仿宋" w:eastAsia="仿宋"/>
          <w:sz w:val="32"/>
          <w:szCs w:val="32"/>
        </w:rPr>
        <w:t>。主要变动原因是减少工程建设改革项目增加系统建设及运行维护资金及压缩开支。</w:t>
      </w:r>
    </w:p>
    <w:p>
      <w:pPr>
        <w:pStyle w:val="2"/>
        <w:spacing w:before="93"/>
        <w:ind w:firstLine="1800" w:firstLineChars="600"/>
      </w:pPr>
      <w:r>
        <w:drawing>
          <wp:inline distT="0" distB="0" distL="0" distR="0">
            <wp:extent cx="3467735" cy="35147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a:srcRect/>
                    <a:stretch>
                      <a:fillRect/>
                    </a:stretch>
                  </pic:blipFill>
                  <pic:spPr>
                    <a:xfrm>
                      <a:off x="0" y="0"/>
                      <a:ext cx="3469970" cy="3516880"/>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6"/>
          <w:rFonts w:ascii="黑体" w:hAnsi="黑体" w:eastAsia="黑体"/>
          <w:b w:val="0"/>
        </w:rPr>
      </w:pPr>
      <w:bookmarkStart w:id="49" w:name="_Toc15377209"/>
      <w:bookmarkStart w:id="50" w:name="_Toc15396607"/>
      <w:bookmarkStart w:id="51" w:name="_Toc1135309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9"/>
      <w:bookmarkEnd w:id="50"/>
      <w:bookmarkEnd w:id="51"/>
    </w:p>
    <w:p>
      <w:pPr>
        <w:spacing w:line="600" w:lineRule="exact"/>
        <w:ind w:firstLine="643" w:firstLineChars="200"/>
        <w:outlineLvl w:val="2"/>
        <w:rPr>
          <w:rFonts w:ascii="仿宋" w:hAnsi="仿宋" w:eastAsia="仿宋"/>
          <w:b/>
          <w:sz w:val="32"/>
          <w:szCs w:val="32"/>
        </w:rPr>
      </w:pPr>
      <w:bookmarkStart w:id="52" w:name="_Toc113530910"/>
      <w:bookmarkStart w:id="53" w:name="_Toc15377210"/>
      <w:r>
        <w:rPr>
          <w:rFonts w:hint="eastAsia" w:ascii="仿宋" w:hAnsi="仿宋" w:eastAsia="仿宋"/>
          <w:b/>
          <w:sz w:val="32"/>
          <w:szCs w:val="32"/>
        </w:rPr>
        <w:t>（一）一般公共预算财政拨款支出决算总体情况</w:t>
      </w:r>
      <w:bookmarkEnd w:id="52"/>
      <w:bookmarkEnd w:id="53"/>
    </w:p>
    <w:p>
      <w:pPr>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21年一般公共预算财政拨款支出1991.90万元，占本年支出合计的100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20年相比，一般公共预算财政拨款支出增加230.82万元，增长13.11</w:t>
      </w:r>
      <w:r>
        <w:rPr>
          <w:rFonts w:ascii="仿宋" w:hAnsi="仿宋" w:eastAsia="仿宋"/>
          <w:sz w:val="32"/>
          <w:szCs w:val="32"/>
        </w:rPr>
        <w:t>%</w:t>
      </w:r>
      <w:r>
        <w:rPr>
          <w:rFonts w:hint="eastAsia" w:ascii="仿宋" w:hAnsi="仿宋" w:eastAsia="仿宋"/>
          <w:sz w:val="32"/>
          <w:szCs w:val="32"/>
        </w:rPr>
        <w:t>。主要变动原因是2021年政务中心新址搬迁政府采购项目增加。</w:t>
      </w:r>
    </w:p>
    <w:p>
      <w:pPr>
        <w:pStyle w:val="2"/>
        <w:spacing w:before="93"/>
      </w:pPr>
      <w:r>
        <w:rPr>
          <w:rFonts w:hint="eastAsia"/>
        </w:rPr>
        <w:t xml:space="preserve">  </w:t>
      </w:r>
    </w:p>
    <w:p>
      <w:pPr>
        <w:pStyle w:val="2"/>
        <w:spacing w:before="93"/>
        <w:ind w:firstLine="600" w:firstLineChars="200"/>
      </w:pPr>
      <w:r>
        <w:rPr>
          <w:rFonts w:hint="eastAsia"/>
        </w:rPr>
        <w:drawing>
          <wp:inline distT="0" distB="0" distL="0" distR="0">
            <wp:extent cx="4237355" cy="3505200"/>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srcRect/>
                    <a:stretch>
                      <a:fillRect/>
                    </a:stretch>
                  </pic:blipFill>
                  <pic:spPr>
                    <a:xfrm>
                      <a:off x="0" y="0"/>
                      <a:ext cx="4237145" cy="3504992"/>
                    </a:xfrm>
                    <a:prstGeom prst="rect">
                      <a:avLst/>
                    </a:prstGeom>
                    <a:noFill/>
                    <a:ln w="9525">
                      <a:noFill/>
                      <a:miter lim="800000"/>
                      <a:headEnd/>
                      <a:tailEnd/>
                    </a:ln>
                  </pic:spPr>
                </pic:pic>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3" w:firstLineChars="200"/>
        <w:outlineLvl w:val="2"/>
        <w:rPr>
          <w:rFonts w:ascii="仿宋" w:hAnsi="仿宋" w:eastAsia="仿宋"/>
          <w:b/>
          <w:sz w:val="32"/>
          <w:szCs w:val="32"/>
        </w:rPr>
      </w:pPr>
      <w:bookmarkStart w:id="54" w:name="_Toc15377211"/>
      <w:bookmarkStart w:id="55" w:name="_Toc113530911"/>
      <w:r>
        <w:rPr>
          <w:rFonts w:hint="eastAsia" w:ascii="仿宋" w:hAnsi="仿宋" w:eastAsia="仿宋"/>
          <w:b/>
          <w:sz w:val="32"/>
          <w:szCs w:val="32"/>
        </w:rPr>
        <w:t>（二）一般公共预算财政拨款支出决算结构情况</w:t>
      </w:r>
      <w:bookmarkEnd w:id="54"/>
      <w:bookmarkEnd w:id="5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21年一般公共预算财政拨款支出1991.9万元，主要用于以下方面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ascii="仿宋" w:hAnsi="仿宋" w:eastAsia="仿宋"/>
          <w:sz w:val="32"/>
          <w:szCs w:val="32"/>
        </w:rPr>
        <w:t>1869.2</w:t>
      </w:r>
      <w:r>
        <w:rPr>
          <w:rFonts w:hint="eastAsia" w:ascii="仿宋" w:hAnsi="仿宋" w:eastAsia="仿宋"/>
          <w:sz w:val="32"/>
          <w:szCs w:val="32"/>
        </w:rPr>
        <w:t>万元，占93.84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51.02</w:t>
      </w:r>
      <w:r>
        <w:rPr>
          <w:rFonts w:hint="eastAsia" w:ascii="仿宋" w:hAnsi="仿宋" w:eastAsia="仿宋"/>
          <w:sz w:val="32"/>
          <w:szCs w:val="32"/>
        </w:rPr>
        <w:t>万元，占2.56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ascii="仿宋" w:hAnsi="仿宋" w:eastAsia="仿宋"/>
          <w:sz w:val="32"/>
          <w:szCs w:val="32"/>
        </w:rPr>
        <w:t>18.56</w:t>
      </w:r>
      <w:r>
        <w:rPr>
          <w:rFonts w:hint="eastAsia" w:ascii="仿宋" w:hAnsi="仿宋" w:eastAsia="仿宋"/>
          <w:sz w:val="32"/>
          <w:szCs w:val="32"/>
        </w:rPr>
        <w:t>万元，占0.09</w:t>
      </w:r>
      <w:r>
        <w:rPr>
          <w:rFonts w:ascii="仿宋" w:hAnsi="仿宋" w:eastAsia="仿宋"/>
          <w:sz w:val="32"/>
          <w:szCs w:val="32"/>
        </w:rPr>
        <w:t>%</w:t>
      </w:r>
      <w:r>
        <w:rPr>
          <w:rFonts w:hint="eastAsia" w:ascii="仿宋" w:hAnsi="仿宋" w:eastAsia="仿宋"/>
          <w:sz w:val="32"/>
          <w:szCs w:val="32"/>
        </w:rPr>
        <w:t>；住房保障支出</w:t>
      </w:r>
      <w:r>
        <w:rPr>
          <w:rFonts w:ascii="仿宋" w:hAnsi="仿宋" w:eastAsia="仿宋"/>
          <w:sz w:val="32"/>
          <w:szCs w:val="32"/>
        </w:rPr>
        <w:t>53.12</w:t>
      </w:r>
      <w:r>
        <w:rPr>
          <w:rFonts w:hint="eastAsia" w:ascii="仿宋" w:hAnsi="仿宋" w:eastAsia="仿宋"/>
          <w:sz w:val="32"/>
          <w:szCs w:val="32"/>
        </w:rPr>
        <w:t>万元，占2.67</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548005</wp:posOffset>
            </wp:positionH>
            <wp:positionV relativeFrom="paragraph">
              <wp:posOffset>165100</wp:posOffset>
            </wp:positionV>
            <wp:extent cx="4434840" cy="2743200"/>
            <wp:effectExtent l="19050" t="0" r="381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4434840" cy="2743200"/>
                    </a:xfrm>
                    <a:prstGeom prst="rect">
                      <a:avLst/>
                    </a:prstGeom>
                    <a:noFill/>
                    <a:ln w="9525">
                      <a:noFill/>
                      <a:miter lim="800000"/>
                      <a:headEnd/>
                      <a:tailEnd/>
                    </a:ln>
                  </pic:spPr>
                </pic:pic>
              </a:graphicData>
            </a:graphic>
          </wp:anchor>
        </w:drawing>
      </w:r>
    </w:p>
    <w:p>
      <w:pPr>
        <w:pStyle w:val="2"/>
        <w:spacing w:before="93"/>
      </w:pPr>
    </w:p>
    <w:p>
      <w:pPr>
        <w:pStyle w:val="2"/>
        <w:spacing w:before="93"/>
      </w:pPr>
    </w:p>
    <w:p>
      <w:pPr>
        <w:pStyle w:val="2"/>
        <w:spacing w:before="93"/>
      </w:pPr>
    </w:p>
    <w:p>
      <w:pPr>
        <w:pStyle w:val="2"/>
        <w:spacing w:before="93"/>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3" w:firstLineChars="200"/>
        <w:outlineLvl w:val="2"/>
        <w:rPr>
          <w:rFonts w:ascii="仿宋" w:hAnsi="仿宋" w:eastAsia="仿宋"/>
          <w:b/>
          <w:sz w:val="32"/>
          <w:szCs w:val="32"/>
        </w:rPr>
      </w:pPr>
      <w:bookmarkStart w:id="56" w:name="_Toc15377212"/>
      <w:bookmarkStart w:id="57" w:name="_Toc113530912"/>
      <w:r>
        <w:rPr>
          <w:rFonts w:hint="eastAsia" w:ascii="仿宋" w:hAnsi="仿宋" w:eastAsia="仿宋"/>
          <w:b/>
          <w:sz w:val="32"/>
          <w:szCs w:val="32"/>
        </w:rPr>
        <w:t>（三）一般公共预算财政拨款支出决算具体情况</w:t>
      </w:r>
      <w:bookmarkEnd w:id="56"/>
      <w:bookmarkEnd w:id="57"/>
    </w:p>
    <w:p>
      <w:pPr>
        <w:spacing w:line="600" w:lineRule="exact"/>
        <w:ind w:firstLine="643" w:firstLineChars="200"/>
        <w:outlineLvl w:val="2"/>
        <w:rPr>
          <w:rFonts w:ascii="仿宋" w:hAnsi="仿宋" w:eastAsia="仿宋"/>
          <w:sz w:val="32"/>
          <w:szCs w:val="32"/>
        </w:rPr>
      </w:pPr>
      <w:bookmarkStart w:id="58" w:name="_Toc15377213"/>
      <w:bookmarkStart w:id="59" w:name="_Toc113530913"/>
      <w:bookmarkStart w:id="60" w:name="_Toc15377444"/>
      <w:bookmarkStart w:id="61" w:name="_Toc15378460"/>
      <w:r>
        <w:rPr>
          <w:rFonts w:hint="eastAsia" w:ascii="仿宋" w:hAnsi="仿宋" w:eastAsia="仿宋"/>
          <w:b/>
          <w:sz w:val="32"/>
          <w:szCs w:val="32"/>
        </w:rPr>
        <w:t>2021年一般公共预算支出决算数为1991.9</w:t>
      </w:r>
      <w:r>
        <w:rPr>
          <w:rFonts w:hint="eastAsia" w:ascii="仿宋" w:hAnsi="仿宋" w:eastAsia="仿宋"/>
          <w:sz w:val="32"/>
          <w:szCs w:val="32"/>
        </w:rPr>
        <w:t>，</w:t>
      </w:r>
      <w:r>
        <w:rPr>
          <w:rStyle w:val="15"/>
          <w:rFonts w:hint="eastAsia" w:ascii="仿宋" w:hAnsi="仿宋" w:eastAsia="仿宋"/>
          <w:bCs/>
          <w:sz w:val="32"/>
          <w:szCs w:val="32"/>
        </w:rPr>
        <w:t>完成预算99.47</w:t>
      </w:r>
      <w:r>
        <w:rPr>
          <w:rStyle w:val="15"/>
          <w:rFonts w:ascii="仿宋" w:hAnsi="仿宋" w:eastAsia="仿宋"/>
          <w:bCs/>
          <w:sz w:val="32"/>
          <w:szCs w:val="32"/>
        </w:rPr>
        <w:t>%</w:t>
      </w:r>
      <w:r>
        <w:rPr>
          <w:rStyle w:val="15"/>
          <w:rFonts w:hint="eastAsia" w:ascii="仿宋" w:hAnsi="仿宋" w:eastAsia="仿宋"/>
          <w:bCs/>
          <w:sz w:val="32"/>
          <w:szCs w:val="32"/>
        </w:rPr>
        <w:t>。其中：</w:t>
      </w:r>
      <w:bookmarkEnd w:id="58"/>
      <w:bookmarkEnd w:id="59"/>
      <w:bookmarkEnd w:id="60"/>
      <w:bookmarkEnd w:id="61"/>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1.一般公共服务（类）03（款）01（项）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270.</w:t>
      </w:r>
      <w:r>
        <w:rPr>
          <w:rStyle w:val="15"/>
          <w:rFonts w:hint="eastAsia" w:ascii="仿宋" w:hAnsi="仿宋" w:eastAsia="仿宋"/>
          <w:b w:val="0"/>
          <w:bCs/>
          <w:color w:val="000000"/>
          <w:sz w:val="32"/>
          <w:szCs w:val="32"/>
        </w:rPr>
        <w:t>09元，完成预算96.8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2.一般公共服务（类）03（款）02（项）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11</w:t>
      </w:r>
      <w:r>
        <w:rPr>
          <w:rStyle w:val="15"/>
          <w:rFonts w:hint="eastAsia" w:ascii="仿宋" w:hAnsi="仿宋" w:eastAsia="仿宋"/>
          <w:b w:val="0"/>
          <w:bCs/>
          <w:color w:val="000000"/>
          <w:sz w:val="32"/>
          <w:szCs w:val="32"/>
        </w:rPr>
        <w:t>98.83万元，完成预算99.57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3.一般公共服务（类）03（款）50（项）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支出决算为388.7万元，完成预算100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4.一般公共服务（类）03（款）99（项）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7.31</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一般公共服务（类）31（款）01（项）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支出决算为2.58万元，完成预算100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420" w:firstLineChars="200"/>
        <w:rPr>
          <w:rFonts w:ascii="仿宋" w:hAnsi="仿宋" w:eastAsia="仿宋"/>
          <w:b/>
          <w:color w:val="000000"/>
          <w:sz w:val="32"/>
          <w:szCs w:val="32"/>
        </w:rPr>
      </w:pPr>
      <w:r>
        <w:rPr>
          <w:rFonts w:hint="eastAsia"/>
        </w:rPr>
        <w:t xml:space="preserve">  </w:t>
      </w:r>
      <w:r>
        <w:rPr>
          <w:rStyle w:val="15"/>
          <w:rFonts w:hint="eastAsia" w:ascii="仿宋" w:hAnsi="仿宋" w:eastAsia="仿宋"/>
          <w:bCs/>
          <w:color w:val="000000"/>
          <w:sz w:val="32"/>
          <w:szCs w:val="32"/>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一般公共服务（类）32（款）99（项）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支出决算为1.66万元，完成预算100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7.社会保障和就业（类）05（款）01（项）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支出决算为1.39万元，完成预算100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420" w:firstLineChars="200"/>
        <w:rPr>
          <w:rFonts w:ascii="仿宋" w:hAnsi="仿宋" w:eastAsia="仿宋"/>
          <w:bCs/>
          <w:color w:val="000000"/>
          <w:sz w:val="32"/>
          <w:szCs w:val="32"/>
        </w:rPr>
      </w:pPr>
      <w:r>
        <w:rPr>
          <w:rFonts w:hint="eastAsia"/>
        </w:rPr>
        <w:t xml:space="preserve">  </w:t>
      </w:r>
      <w:r>
        <w:rPr>
          <w:rStyle w:val="15"/>
          <w:rFonts w:hint="eastAsia" w:ascii="仿宋" w:hAnsi="仿宋" w:eastAsia="仿宋"/>
          <w:bCs/>
          <w:color w:val="000000"/>
          <w:sz w:val="32"/>
          <w:szCs w:val="32"/>
        </w:rPr>
        <w:t>8</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社会保障和就业（类）05（款）02（项）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支出决算为0.19万元，完成预算100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9</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社会保障和就业（类）05（款）05（项）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支出决算为49.44万元，完成预算100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10</w:t>
      </w:r>
      <w:r>
        <w:rPr>
          <w:rStyle w:val="15"/>
          <w:rFonts w:ascii="仿宋" w:hAnsi="仿宋" w:eastAsia="仿宋"/>
          <w:bCs/>
          <w:color w:val="000000"/>
          <w:sz w:val="32"/>
          <w:szCs w:val="32"/>
        </w:rPr>
        <w:t>.</w:t>
      </w:r>
      <w:r>
        <w:rPr>
          <w:rFonts w:hint="eastAsia"/>
        </w:rPr>
        <w:t xml:space="preserve"> </w:t>
      </w:r>
      <w:r>
        <w:rPr>
          <w:rStyle w:val="15"/>
          <w:rFonts w:hint="eastAsia" w:ascii="仿宋" w:hAnsi="仿宋" w:eastAsia="仿宋"/>
          <w:bCs/>
          <w:color w:val="000000"/>
          <w:sz w:val="32"/>
          <w:szCs w:val="32"/>
        </w:rPr>
        <w:t>卫生健康（类）11（款）01（项）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支出决算为15.11万元，完成预算100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Cs/>
          <w:color w:val="000000"/>
          <w:sz w:val="32"/>
          <w:szCs w:val="32"/>
        </w:rPr>
      </w:pPr>
      <w:r>
        <w:rPr>
          <w:rStyle w:val="15"/>
          <w:rFonts w:hint="eastAsia" w:ascii="仿宋" w:hAnsi="仿宋" w:eastAsia="仿宋"/>
          <w:bCs/>
          <w:color w:val="000000"/>
          <w:sz w:val="32"/>
          <w:szCs w:val="32"/>
        </w:rPr>
        <w:t>11</w:t>
      </w:r>
      <w:r>
        <w:rPr>
          <w:rStyle w:val="15"/>
          <w:rFonts w:ascii="仿宋" w:hAnsi="仿宋" w:eastAsia="仿宋"/>
          <w:bCs/>
          <w:color w:val="000000"/>
          <w:sz w:val="32"/>
          <w:szCs w:val="32"/>
        </w:rPr>
        <w:t>.</w:t>
      </w:r>
      <w:r>
        <w:rPr>
          <w:rFonts w:hint="eastAsia"/>
        </w:rPr>
        <w:t xml:space="preserve"> </w:t>
      </w:r>
      <w:r>
        <w:rPr>
          <w:rStyle w:val="15"/>
          <w:rFonts w:hint="eastAsia" w:ascii="仿宋" w:hAnsi="仿宋" w:eastAsia="仿宋"/>
          <w:bCs/>
          <w:color w:val="000000"/>
          <w:sz w:val="32"/>
          <w:szCs w:val="32"/>
        </w:rPr>
        <w:t>卫生健康（类）11（款）02（项）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支出决算为3.44万元，完成预算100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12</w:t>
      </w:r>
      <w:r>
        <w:rPr>
          <w:rStyle w:val="15"/>
          <w:rFonts w:ascii="仿宋" w:hAnsi="仿宋" w:eastAsia="仿宋"/>
          <w:bCs/>
          <w:color w:val="000000"/>
          <w:sz w:val="32"/>
          <w:szCs w:val="32"/>
        </w:rPr>
        <w:t>.</w:t>
      </w:r>
      <w:r>
        <w:rPr>
          <w:rFonts w:hint="eastAsia" w:ascii="仿宋" w:hAnsi="仿宋" w:eastAsia="仿宋"/>
          <w:b/>
          <w:bCs/>
          <w:color w:val="000000"/>
          <w:sz w:val="32"/>
          <w:szCs w:val="32"/>
        </w:rPr>
        <w:t>住房保障</w:t>
      </w:r>
      <w:r>
        <w:rPr>
          <w:rStyle w:val="15"/>
          <w:rFonts w:hint="eastAsia" w:ascii="仿宋" w:hAnsi="仿宋" w:eastAsia="仿宋"/>
          <w:bCs/>
          <w:color w:val="000000"/>
          <w:sz w:val="32"/>
          <w:szCs w:val="32"/>
        </w:rPr>
        <w:t>（类）02（款）01（项）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支出决算为53.12万元，完成预算100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tabs>
          <w:tab w:val="right" w:pos="8306"/>
        </w:tabs>
        <w:spacing w:line="600" w:lineRule="exact"/>
        <w:ind w:firstLine="640"/>
        <w:outlineLvl w:val="1"/>
        <w:rPr>
          <w:rStyle w:val="26"/>
        </w:rPr>
      </w:pPr>
      <w:bookmarkStart w:id="62" w:name="_Toc15396608"/>
      <w:bookmarkStart w:id="63" w:name="_Toc15377214"/>
      <w:bookmarkStart w:id="64" w:name="_Toc1135309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62"/>
      <w:bookmarkEnd w:id="63"/>
      <w:bookmarkEnd w:id="64"/>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21年一般公共预算财政拨款基本支出793.07万元，其中：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667.66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125.41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65" w:name="_Toc15396609"/>
      <w:bookmarkStart w:id="66" w:name="_Toc15377215"/>
      <w:bookmarkStart w:id="67" w:name="_Toc1135309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65"/>
      <w:bookmarkEnd w:id="66"/>
      <w:bookmarkEnd w:id="67"/>
    </w:p>
    <w:p>
      <w:pPr>
        <w:spacing w:line="600" w:lineRule="exact"/>
        <w:ind w:firstLine="640"/>
        <w:outlineLvl w:val="2"/>
        <w:rPr>
          <w:rFonts w:ascii="仿宋" w:hAnsi="仿宋" w:eastAsia="仿宋"/>
          <w:b/>
          <w:sz w:val="32"/>
          <w:szCs w:val="32"/>
        </w:rPr>
      </w:pPr>
      <w:bookmarkStart w:id="68" w:name="_Toc15377216"/>
      <w:bookmarkStart w:id="69" w:name="_Toc113530916"/>
      <w:r>
        <w:rPr>
          <w:rFonts w:hint="eastAsia" w:ascii="仿宋" w:hAnsi="仿宋" w:eastAsia="仿宋"/>
          <w:b/>
          <w:sz w:val="32"/>
          <w:szCs w:val="32"/>
        </w:rPr>
        <w:t>（一）“三公”经费财政拨款支出决算总体情况说明</w:t>
      </w:r>
      <w:bookmarkEnd w:id="68"/>
      <w:bookmarkEnd w:id="6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21年“三公”经费财政拨款支出决算为19.39万元，完成预算91.98</w:t>
      </w:r>
      <w:r>
        <w:rPr>
          <w:rFonts w:ascii="仿宋" w:hAnsi="仿宋" w:eastAsia="仿宋"/>
          <w:sz w:val="32"/>
          <w:szCs w:val="32"/>
        </w:rPr>
        <w:t>%</w:t>
      </w:r>
      <w:r>
        <w:rPr>
          <w:rFonts w:hint="eastAsia" w:ascii="仿宋" w:hAnsi="仿宋" w:eastAsia="仿宋"/>
          <w:sz w:val="32"/>
          <w:szCs w:val="32"/>
        </w:rPr>
        <w:t>，决算数小于预算数的主要原因是厉行节俭，合理开支。</w:t>
      </w:r>
    </w:p>
    <w:p>
      <w:pPr>
        <w:spacing w:line="600" w:lineRule="exact"/>
        <w:ind w:firstLine="640"/>
        <w:outlineLvl w:val="2"/>
        <w:rPr>
          <w:rFonts w:ascii="仿宋" w:hAnsi="仿宋" w:eastAsia="仿宋"/>
          <w:b/>
          <w:sz w:val="32"/>
          <w:szCs w:val="32"/>
        </w:rPr>
      </w:pPr>
      <w:bookmarkStart w:id="70" w:name="_Toc15377217"/>
      <w:bookmarkStart w:id="71" w:name="_Toc113530917"/>
      <w:r>
        <w:rPr>
          <w:rFonts w:hint="eastAsia" w:ascii="仿宋" w:hAnsi="仿宋" w:eastAsia="仿宋"/>
          <w:b/>
          <w:sz w:val="32"/>
          <w:szCs w:val="32"/>
        </w:rPr>
        <w:t>（二）“三公”经费财政拨款支出决算具体情况说明</w:t>
      </w:r>
      <w:bookmarkEnd w:id="70"/>
      <w:bookmarkEnd w:id="71"/>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；公务用车购置及运行维护费支出决算18.79万元，占96.91</w:t>
      </w:r>
      <w:r>
        <w:rPr>
          <w:rFonts w:ascii="仿宋" w:hAnsi="仿宋" w:eastAsia="仿宋"/>
          <w:sz w:val="32"/>
          <w:szCs w:val="32"/>
        </w:rPr>
        <w:t>%</w:t>
      </w:r>
      <w:r>
        <w:rPr>
          <w:rFonts w:hint="eastAsia" w:ascii="仿宋" w:hAnsi="仿宋" w:eastAsia="仿宋"/>
          <w:sz w:val="32"/>
          <w:szCs w:val="32"/>
        </w:rPr>
        <w:t>；公务接待费支出决算0.6万元，占3.09</w:t>
      </w:r>
      <w:r>
        <w:rPr>
          <w:rFonts w:ascii="仿宋" w:hAnsi="仿宋" w:eastAsia="仿宋"/>
          <w:sz w:val="32"/>
          <w:szCs w:val="32"/>
        </w:rPr>
        <w:t>%</w:t>
      </w:r>
      <w:r>
        <w:rPr>
          <w:rFonts w:hint="eastAsia" w:ascii="仿宋" w:hAnsi="仿宋" w:eastAsia="仿宋"/>
          <w:sz w:val="32"/>
          <w:szCs w:val="32"/>
        </w:rPr>
        <w:t>。具体情况如下：</w:t>
      </w:r>
    </w:p>
    <w:p>
      <w:pPr>
        <w:pStyle w:val="2"/>
        <w:spacing w:before="93"/>
        <w:ind w:firstLine="2550" w:firstLineChars="850"/>
      </w:pPr>
      <w:r>
        <w:drawing>
          <wp:inline distT="0" distB="0" distL="0" distR="0">
            <wp:extent cx="2421890" cy="2026285"/>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srcRect/>
                    <a:stretch>
                      <a:fillRect/>
                    </a:stretch>
                  </pic:blipFill>
                  <pic:spPr>
                    <a:xfrm>
                      <a:off x="0" y="0"/>
                      <a:ext cx="2423491" cy="2028142"/>
                    </a:xfrm>
                    <a:prstGeom prst="rect">
                      <a:avLst/>
                    </a:prstGeom>
                    <a:noFill/>
                    <a:ln w="9525">
                      <a:noFill/>
                      <a:miter lim="800000"/>
                      <a:headEnd/>
                      <a:tailEnd/>
                    </a:ln>
                  </pic:spPr>
                </pic:pic>
              </a:graphicData>
            </a:graphic>
          </wp:inline>
        </w:drawing>
      </w: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w:t>
      </w:r>
      <w:r>
        <w:rPr>
          <w:rFonts w:hint="eastAsia" w:ascii="仿宋_GB2312" w:eastAsia="仿宋_GB2312"/>
          <w:b/>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18.79万元,</w:t>
      </w:r>
      <w:r>
        <w:rPr>
          <w:rStyle w:val="15"/>
          <w:rFonts w:hint="eastAsia" w:ascii="仿宋" w:hAnsi="仿宋" w:eastAsia="仿宋"/>
          <w:b w:val="0"/>
          <w:bCs/>
          <w:sz w:val="32"/>
          <w:szCs w:val="32"/>
        </w:rPr>
        <w:t>完成预算95.97</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20年增加17.23万元，增长1104</w:t>
      </w:r>
      <w:r>
        <w:rPr>
          <w:rFonts w:ascii="仿宋_GB2312" w:eastAsia="仿宋_GB2312"/>
          <w:sz w:val="32"/>
          <w:szCs w:val="32"/>
        </w:rPr>
        <w:t>%</w:t>
      </w:r>
      <w:r>
        <w:rPr>
          <w:rFonts w:hint="eastAsia" w:ascii="仿宋_GB2312" w:eastAsia="仿宋_GB2312"/>
          <w:sz w:val="32"/>
          <w:szCs w:val="32"/>
        </w:rPr>
        <w:t>。主要原因是2021年新购置一辆公务用车。</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17.96万元。全年按规定更新购置公务用车1辆，其中：轿车1辆、金额17.96万元，用于政务中心开展业务。截至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月底，单位共有公务用车2辆，其中：轿车2辆、越野车0辆、载客汽车0辆。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0.83万元。主要用于政务服务及公共资源交易等所需的公务用车燃料费、维修费、过路过桥费、保险费等支出。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0.6万元，</w:t>
      </w:r>
      <w:r>
        <w:rPr>
          <w:rStyle w:val="15"/>
          <w:rFonts w:hint="eastAsia" w:ascii="仿宋" w:hAnsi="仿宋" w:eastAsia="仿宋"/>
          <w:b w:val="0"/>
          <w:bCs/>
          <w:sz w:val="32"/>
          <w:szCs w:val="32"/>
        </w:rPr>
        <w:t>完成预算40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20年增加0.3万元，增长100</w:t>
      </w:r>
      <w:r>
        <w:rPr>
          <w:rFonts w:ascii="仿宋_GB2312" w:eastAsia="仿宋_GB2312"/>
          <w:sz w:val="32"/>
          <w:szCs w:val="32"/>
        </w:rPr>
        <w:t>%</w:t>
      </w:r>
      <w:r>
        <w:rPr>
          <w:rFonts w:hint="eastAsia" w:ascii="仿宋_GB2312" w:eastAsia="仿宋_GB2312"/>
          <w:sz w:val="32"/>
          <w:szCs w:val="32"/>
        </w:rPr>
        <w:t>。主要原因是开展业务指导性、交流性工作增加。其中：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0.6</w:t>
      </w:r>
      <w:r>
        <w:rPr>
          <w:rFonts w:hint="eastAsia" w:ascii="仿宋_GB2312" w:eastAsia="仿宋_GB2312"/>
          <w:sz w:val="32"/>
          <w:szCs w:val="32"/>
        </w:rPr>
        <w:t>万元，主要用于全省“示范交易中心”创建调研、电子化平台建设调研等。国内公务接待6批次，51人次（不包括陪同人员），共计支出0.60万元，具体内容包括：全省“示范交易中心”创建调研共计0.42万元、电子化平台建设调研共计0.18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bookmarkStart w:id="72" w:name="_Toc15377218"/>
      <w:bookmarkStart w:id="73" w:name="_Toc15396610"/>
      <w:r>
        <w:rPr>
          <w:rFonts w:hint="eastAsia" w:ascii="仿宋_GB2312" w:eastAsia="仿宋_GB2312"/>
          <w:sz w:val="32"/>
          <w:szCs w:val="32"/>
        </w:rPr>
        <w:t>。</w:t>
      </w:r>
    </w:p>
    <w:p>
      <w:pPr>
        <w:spacing w:line="600" w:lineRule="exact"/>
        <w:ind w:firstLine="640"/>
        <w:outlineLvl w:val="1"/>
        <w:rPr>
          <w:rStyle w:val="26"/>
          <w:rFonts w:ascii="黑体" w:hAnsi="黑体" w:eastAsia="黑体"/>
        </w:rPr>
      </w:pPr>
      <w:bookmarkStart w:id="74" w:name="_Toc113530918"/>
      <w:r>
        <w:rPr>
          <w:rFonts w:hint="eastAsia" w:ascii="黑体" w:eastAsia="黑体"/>
          <w:sz w:val="32"/>
          <w:szCs w:val="32"/>
        </w:rPr>
        <w:t>八、</w:t>
      </w:r>
      <w:r>
        <w:rPr>
          <w:rStyle w:val="26"/>
          <w:rFonts w:hint="eastAsia" w:ascii="黑体" w:hAnsi="黑体" w:eastAsia="黑体"/>
          <w:b w:val="0"/>
        </w:rPr>
        <w:t>政府性基金预算支出决算情况说明</w:t>
      </w:r>
      <w:bookmarkEnd w:id="72"/>
      <w:bookmarkEnd w:id="73"/>
      <w:bookmarkEnd w:id="7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pPr>
        <w:numPr>
          <w:ilvl w:val="0"/>
          <w:numId w:val="2"/>
        </w:numPr>
        <w:spacing w:line="600" w:lineRule="exact"/>
        <w:ind w:firstLine="640"/>
        <w:outlineLvl w:val="1"/>
        <w:rPr>
          <w:rStyle w:val="26"/>
          <w:rFonts w:ascii="黑体" w:hAnsi="黑体" w:eastAsia="黑体"/>
          <w:b w:val="0"/>
        </w:rPr>
      </w:pPr>
      <w:bookmarkStart w:id="75" w:name="_Toc15396611"/>
      <w:bookmarkStart w:id="76" w:name="_Toc113530919"/>
      <w:bookmarkStart w:id="77" w:name="_Toc15377219"/>
      <w:r>
        <w:rPr>
          <w:rStyle w:val="26"/>
          <w:rFonts w:hint="eastAsia" w:ascii="黑体" w:hAnsi="黑体" w:eastAsia="黑体"/>
          <w:b w:val="0"/>
        </w:rPr>
        <w:t>国有资本经营预算支出决算情况说明</w:t>
      </w:r>
      <w:bookmarkEnd w:id="75"/>
      <w:bookmarkEnd w:id="76"/>
      <w:bookmarkEnd w:id="7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2"/>
        </w:numPr>
        <w:spacing w:line="600" w:lineRule="exact"/>
        <w:ind w:firstLine="640"/>
        <w:outlineLvl w:val="1"/>
        <w:rPr>
          <w:rStyle w:val="26"/>
          <w:rFonts w:ascii="黑体" w:hAnsi="黑体" w:eastAsia="黑体"/>
          <w:b w:val="0"/>
        </w:rPr>
      </w:pPr>
      <w:bookmarkStart w:id="78" w:name="_Toc113530920"/>
      <w:bookmarkStart w:id="79" w:name="_Toc15396612"/>
      <w:bookmarkStart w:id="80" w:name="_Toc15377221"/>
      <w:r>
        <w:rPr>
          <w:rStyle w:val="26"/>
          <w:rFonts w:hint="eastAsia" w:ascii="黑体" w:hAnsi="黑体" w:eastAsia="黑体"/>
          <w:b w:val="0"/>
        </w:rPr>
        <w:t>其他重要事项的情况说明</w:t>
      </w:r>
      <w:bookmarkEnd w:id="78"/>
      <w:bookmarkEnd w:id="79"/>
      <w:bookmarkEnd w:id="80"/>
    </w:p>
    <w:p>
      <w:pPr>
        <w:spacing w:line="600" w:lineRule="exact"/>
        <w:ind w:firstLine="643" w:firstLineChars="200"/>
        <w:outlineLvl w:val="2"/>
        <w:rPr>
          <w:rFonts w:ascii="仿宋" w:hAnsi="仿宋" w:eastAsia="仿宋"/>
          <w:sz w:val="32"/>
          <w:szCs w:val="32"/>
        </w:rPr>
      </w:pPr>
      <w:bookmarkStart w:id="81" w:name="_Toc15377222"/>
      <w:bookmarkStart w:id="82" w:name="_Toc113530921"/>
      <w:r>
        <w:rPr>
          <w:rFonts w:hint="eastAsia" w:ascii="仿宋" w:hAnsi="仿宋" w:eastAsia="仿宋"/>
          <w:b/>
          <w:sz w:val="32"/>
          <w:szCs w:val="32"/>
        </w:rPr>
        <w:t>（一）机关运行经费支出情况</w:t>
      </w:r>
      <w:bookmarkEnd w:id="81"/>
      <w:bookmarkEnd w:id="8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攀枝花市政务服务管理局</w:t>
      </w:r>
      <w:r>
        <w:rPr>
          <w:rFonts w:hint="eastAsia" w:ascii="仿宋_GB2312" w:eastAsia="仿宋_GB2312"/>
          <w:sz w:val="32"/>
          <w:szCs w:val="32"/>
        </w:rPr>
        <w:t>机关运行经费支出48.04万元，比</w:t>
      </w:r>
      <w:r>
        <w:rPr>
          <w:rFonts w:ascii="仿宋_GB2312" w:eastAsia="仿宋_GB2312"/>
          <w:sz w:val="32"/>
          <w:szCs w:val="32"/>
        </w:rPr>
        <w:t>20</w:t>
      </w:r>
      <w:r>
        <w:rPr>
          <w:rFonts w:hint="eastAsia" w:ascii="仿宋_GB2312" w:eastAsia="仿宋_GB2312"/>
          <w:sz w:val="32"/>
          <w:szCs w:val="32"/>
        </w:rPr>
        <w:t>20年减少183.76万元，下降79.28</w:t>
      </w:r>
      <w:r>
        <w:rPr>
          <w:rFonts w:ascii="仿宋_GB2312" w:eastAsia="仿宋_GB2312"/>
          <w:sz w:val="32"/>
          <w:szCs w:val="32"/>
        </w:rPr>
        <w:t>%</w:t>
      </w:r>
      <w:r>
        <w:rPr>
          <w:rFonts w:hint="eastAsia" w:ascii="仿宋_GB2312" w:eastAsia="仿宋_GB2312"/>
          <w:sz w:val="32"/>
          <w:szCs w:val="32"/>
        </w:rPr>
        <w:t>。主要原因是减少了新址搬迁配套设施建设、广告宣传等费用。</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3" w:name="_Toc113530922"/>
      <w:bookmarkStart w:id="84" w:name="_Toc15377223"/>
      <w:r>
        <w:rPr>
          <w:rFonts w:hint="eastAsia" w:ascii="仿宋" w:hAnsi="仿宋" w:eastAsia="仿宋"/>
          <w:b/>
          <w:sz w:val="32"/>
          <w:szCs w:val="32"/>
        </w:rPr>
        <w:t>（二）政府采购支出情况</w:t>
      </w:r>
      <w:bookmarkEnd w:id="83"/>
      <w:bookmarkEnd w:id="84"/>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color w:val="000000"/>
          <w:sz w:val="32"/>
          <w:szCs w:val="32"/>
        </w:rPr>
        <w:t>攀枝花市政务服务管理局</w:t>
      </w:r>
      <w:r>
        <w:rPr>
          <w:rFonts w:hint="eastAsia" w:ascii="仿宋_GB2312" w:eastAsia="仿宋_GB2312"/>
          <w:sz w:val="32"/>
          <w:szCs w:val="32"/>
        </w:rPr>
        <w:t>政府采购支出总额1095.96万元，其中：政府采购货物支出17.96万元、政府采购工程支出0万元、政府采购服务支出1078万元。主要用于新址搬迁建设档案无轨密集架、窗帘采购等采购项目。</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5" w:name="_Toc15377224"/>
      <w:bookmarkStart w:id="86" w:name="_Toc113530923"/>
      <w:r>
        <w:rPr>
          <w:rFonts w:hint="eastAsia" w:ascii="仿宋" w:hAnsi="仿宋" w:eastAsia="仿宋"/>
          <w:b/>
          <w:sz w:val="32"/>
          <w:szCs w:val="32"/>
        </w:rPr>
        <w:t>（三）国有资产占有使用情况</w:t>
      </w:r>
      <w:bookmarkEnd w:id="85"/>
      <w:bookmarkEnd w:id="86"/>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攀枝花市政务服务管理局</w:t>
      </w:r>
      <w:r>
        <w:rPr>
          <w:rFonts w:hint="eastAsia" w:ascii="仿宋_GB2312" w:eastAsia="仿宋_GB2312"/>
          <w:sz w:val="32"/>
          <w:szCs w:val="32"/>
        </w:rPr>
        <w:t>共有车辆2辆，其中：主要领导干部用车0辆、机要通信用车0辆、应急保障用车0辆、其他用车2辆，其他用车主要是用于政务服务及国有土地现场勘查，单价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87" w:name="_Toc113530924"/>
      <w:r>
        <w:rPr>
          <w:rFonts w:hint="eastAsia" w:ascii="仿宋" w:hAnsi="仿宋" w:eastAsia="仿宋"/>
          <w:b/>
          <w:sz w:val="32"/>
          <w:szCs w:val="32"/>
        </w:rPr>
        <w:t>（四）预算绩效管理情况</w:t>
      </w:r>
      <w:bookmarkEnd w:id="87"/>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2021年度预算编制阶段，组织对购买劳务、2020年采购项目、伙食费补助、机关运行、网络通信维护费、租赁费等5个项目开展了预算事前绩效评估，对5个项目编制了绩效目标，预算执行过程中，选取5个项目开展绩效监控，年终执行完毕后，对1个项目开展了绩效自评。同时，本部门对2021年部门整体开展绩效自评，《2021年攀枝花市政务服务管理局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88" w:name="_Toc113530925"/>
      <w:bookmarkStart w:id="89" w:name="_Toc15396613"/>
      <w:bookmarkStart w:id="90" w:name="_Toc15377225"/>
      <w:r>
        <w:rPr>
          <w:rFonts w:hint="eastAsia" w:ascii="黑体" w:hAnsi="黑体" w:eastAsia="黑体"/>
          <w:sz w:val="44"/>
          <w:szCs w:val="44"/>
        </w:rPr>
        <w:t>名</w:t>
      </w:r>
      <w:r>
        <w:rPr>
          <w:rStyle w:val="25"/>
          <w:rFonts w:hint="eastAsia" w:ascii="黑体" w:hAnsi="黑体" w:eastAsia="黑体"/>
          <w:b w:val="0"/>
        </w:rPr>
        <w:t>词解释</w:t>
      </w:r>
      <w:bookmarkEnd w:id="88"/>
      <w:bookmarkEnd w:id="89"/>
      <w:bookmarkEnd w:id="9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其他收入：指单位取得的除上述收入以外的各项收入。主要是利息收入。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一般公共服务（类）03（款）01（项）：指行政单位（包括实行公务员管理的事业单位）的基本支出。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10.一般公共服务（类）03（款）02（项）：指行政单位（包括实行公务员管理的事业单位）提供未单独设置项级科目的其他项目支出。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11.一般公共服务（类）03（款）50（项）：指事业单位的基本支出，不包括行政单位（包括实行公务员管理的事业单位）后勤服务中心、医务室等附属事业单位。</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12.一般公共服务（类）03（款）99（项）：指除上述项目以外的其他政府办公厅（室）及相关机构事务支出。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hint="eastAsia" w:ascii="仿宋" w:hAnsi="仿宋" w:eastAsia="仿宋"/>
          <w:bCs/>
          <w:color w:val="000000"/>
          <w:sz w:val="32"/>
          <w:szCs w:val="32"/>
        </w:rPr>
        <w:t xml:space="preserve"> </w:t>
      </w:r>
      <w:r>
        <w:rPr>
          <w:rStyle w:val="15"/>
          <w:rFonts w:hint="eastAsia" w:ascii="仿宋" w:hAnsi="仿宋" w:eastAsia="仿宋"/>
          <w:b w:val="0"/>
          <w:bCs/>
          <w:color w:val="000000"/>
          <w:sz w:val="32"/>
          <w:szCs w:val="32"/>
        </w:rPr>
        <w:t>一般公共服务（类）31（款）01</w:t>
      </w:r>
      <w:r>
        <w:rPr>
          <w:rStyle w:val="15"/>
          <w:rFonts w:hint="eastAsia" w:ascii="仿宋" w:hAnsi="仿宋" w:eastAsia="仿宋"/>
          <w:bCs/>
          <w:color w:val="000000"/>
          <w:sz w:val="32"/>
          <w:szCs w:val="32"/>
        </w:rPr>
        <w:t>（项）</w:t>
      </w:r>
      <w:r>
        <w:rPr>
          <w:rFonts w:hint="eastAsia" w:ascii="仿宋_GB2312" w:eastAsia="仿宋_GB2312"/>
          <w:color w:val="000000"/>
          <w:sz w:val="32"/>
          <w:szCs w:val="32"/>
        </w:rPr>
        <w:t>：指党委办公厅（室）及相关机构事务方面的支出。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hint="eastAsia" w:ascii="仿宋" w:hAnsi="仿宋" w:eastAsia="仿宋"/>
          <w:bCs/>
          <w:color w:val="000000"/>
          <w:sz w:val="32"/>
          <w:szCs w:val="32"/>
        </w:rPr>
        <w:t xml:space="preserve"> </w:t>
      </w:r>
      <w:r>
        <w:rPr>
          <w:rStyle w:val="15"/>
          <w:rFonts w:hint="eastAsia" w:ascii="仿宋" w:hAnsi="仿宋" w:eastAsia="仿宋"/>
          <w:b w:val="0"/>
          <w:bCs/>
          <w:color w:val="000000"/>
          <w:sz w:val="32"/>
          <w:szCs w:val="32"/>
        </w:rPr>
        <w:t>一般公共服务（类）32（款）99（项）</w:t>
      </w:r>
      <w:r>
        <w:rPr>
          <w:rFonts w:hint="eastAsia" w:ascii="仿宋_GB2312" w:eastAsia="仿宋_GB2312"/>
          <w:color w:val="000000"/>
          <w:sz w:val="32"/>
          <w:szCs w:val="32"/>
        </w:rPr>
        <w:t>：指除上述项目以外其他用于中国共产党组织部门的事务支出。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社会保障和就业（类）05（款）01（项）：指实行归口管理的行政单位（包括实行公务员管理的事业单位）开支的离退休经费。</w:t>
      </w:r>
    </w:p>
    <w:p>
      <w:pPr>
        <w:pStyle w:val="2"/>
        <w:spacing w:before="93"/>
        <w:ind w:firstLine="585"/>
        <w:rPr>
          <w:color w:val="000000"/>
          <w:sz w:val="32"/>
          <w:szCs w:val="32"/>
        </w:rPr>
      </w:pPr>
      <w:r>
        <w:rPr>
          <w:rFonts w:hint="eastAsia"/>
        </w:rPr>
        <w:t>16.</w:t>
      </w:r>
      <w:r>
        <w:rPr>
          <w:rStyle w:val="15"/>
          <w:rFonts w:hint="eastAsia" w:ascii="仿宋" w:hAnsi="仿宋" w:eastAsia="仿宋"/>
          <w:b w:val="0"/>
          <w:bCs/>
          <w:color w:val="000000"/>
          <w:sz w:val="32"/>
          <w:szCs w:val="32"/>
        </w:rPr>
        <w:t>社会保障和就业（类）05（款）02</w:t>
      </w:r>
      <w:r>
        <w:rPr>
          <w:rFonts w:hint="eastAsia"/>
          <w:color w:val="000000"/>
          <w:sz w:val="32"/>
          <w:szCs w:val="32"/>
        </w:rPr>
        <w:t>（项）：指事业单位离退休费。</w:t>
      </w:r>
    </w:p>
    <w:p>
      <w:pPr>
        <w:pStyle w:val="2"/>
        <w:spacing w:before="93"/>
        <w:ind w:firstLine="585"/>
        <w:rPr>
          <w:rStyle w:val="15"/>
          <w:b w:val="0"/>
          <w:color w:val="000000"/>
          <w:sz w:val="32"/>
          <w:szCs w:val="32"/>
        </w:rPr>
      </w:pPr>
      <w:r>
        <w:rPr>
          <w:rFonts w:hint="eastAsia"/>
          <w:color w:val="000000"/>
          <w:sz w:val="32"/>
          <w:szCs w:val="32"/>
        </w:rPr>
        <w:t>17</w:t>
      </w:r>
      <w:r>
        <w:rPr>
          <w:color w:val="000000"/>
          <w:sz w:val="32"/>
          <w:szCs w:val="32"/>
        </w:rPr>
        <w:t>.</w:t>
      </w:r>
      <w:r>
        <w:rPr>
          <w:rFonts w:hint="eastAsia"/>
          <w:color w:val="000000"/>
          <w:sz w:val="32"/>
          <w:szCs w:val="32"/>
        </w:rPr>
        <w:t>社会保障和就业（类）05（款）05（项）：指机关事业单位实施养老保险制度由单位缴纳的基本养老保险费支出。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18</w:t>
      </w:r>
      <w:r>
        <w:rPr>
          <w:rFonts w:ascii="仿宋_GB2312" w:eastAsia="仿宋_GB2312"/>
          <w:color w:val="000000"/>
          <w:sz w:val="32"/>
          <w:szCs w:val="32"/>
        </w:rPr>
        <w:t>.</w:t>
      </w:r>
      <w:r>
        <w:rPr>
          <w:rFonts w:hint="eastAsia" w:ascii="仿宋_GB2312" w:eastAsia="仿宋_GB2312"/>
          <w:color w:val="000000"/>
          <w:sz w:val="32"/>
          <w:szCs w:val="32"/>
        </w:rPr>
        <w:t xml:space="preserve"> 卫生健康（类）11（款）01（项）</w:t>
      </w:r>
      <w:r>
        <w:rPr>
          <w:rFonts w:ascii="仿宋_GB2312" w:eastAsia="仿宋_GB2312"/>
          <w:color w:val="000000"/>
          <w:sz w:val="32"/>
          <w:szCs w:val="32"/>
        </w:rPr>
        <w:t>:</w:t>
      </w:r>
      <w:r>
        <w:rPr>
          <w:rFonts w:hint="eastAsia" w:ascii="仿宋_GB2312" w:eastAsia="仿宋_GB2312"/>
          <w:color w:val="000000"/>
          <w:sz w:val="32"/>
          <w:szCs w:val="32"/>
        </w:rPr>
        <w:t>指行政单位医疗支出。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19</w:t>
      </w:r>
      <w:r>
        <w:rPr>
          <w:rFonts w:ascii="仿宋_GB2312" w:eastAsia="仿宋_GB2312"/>
          <w:color w:val="000000"/>
          <w:sz w:val="32"/>
          <w:szCs w:val="32"/>
        </w:rPr>
        <w:t>.</w:t>
      </w:r>
      <w:r>
        <w:rPr>
          <w:rFonts w:hint="eastAsia" w:ascii="仿宋_GB2312" w:eastAsia="仿宋_GB2312"/>
          <w:color w:val="000000"/>
          <w:sz w:val="32"/>
          <w:szCs w:val="32"/>
        </w:rPr>
        <w:t xml:space="preserve"> 卫生健康（类）11（款）02（项）</w:t>
      </w:r>
      <w:r>
        <w:rPr>
          <w:rFonts w:ascii="仿宋_GB2312" w:eastAsia="仿宋_GB2312"/>
          <w:color w:val="000000"/>
          <w:sz w:val="32"/>
          <w:szCs w:val="32"/>
        </w:rPr>
        <w:t>:</w:t>
      </w:r>
      <w:r>
        <w:rPr>
          <w:rFonts w:hint="eastAsia" w:ascii="仿宋_GB2312" w:eastAsia="仿宋_GB2312"/>
          <w:color w:val="000000"/>
          <w:sz w:val="32"/>
          <w:szCs w:val="32"/>
        </w:rPr>
        <w:t>指事业单位医疗支出。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w:t>
      </w:r>
      <w:r>
        <w:rPr>
          <w:rFonts w:hint="eastAsia" w:ascii="仿宋_GB2312" w:eastAsia="仿宋_GB2312"/>
          <w:color w:val="000000"/>
          <w:sz w:val="32"/>
          <w:szCs w:val="32"/>
        </w:rPr>
        <w:t>住房保障（类）02（款）01（项）：指住房公积金支出。</w:t>
      </w:r>
    </w:p>
    <w:p>
      <w:pPr>
        <w:ind w:firstLine="640" w:firstLineChars="200"/>
        <w:rPr>
          <w:rFonts w:ascii="仿宋_GB2312" w:eastAsia="仿宋_GB2312"/>
          <w:sz w:val="32"/>
          <w:szCs w:val="32"/>
        </w:rPr>
      </w:pPr>
      <w:r>
        <w:rPr>
          <w:rFonts w:hint="eastAsia" w:ascii="仿宋_GB2312" w:eastAsia="仿宋_GB2312"/>
          <w:sz w:val="32"/>
          <w:szCs w:val="32"/>
        </w:rPr>
        <w:t>21</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24</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25</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91" w:name="_Toc15377226"/>
      <w:r>
        <w:rPr>
          <w:rFonts w:ascii="宋体"/>
          <w:b/>
          <w:sz w:val="44"/>
          <w:szCs w:val="44"/>
        </w:rPr>
        <w:br w:type="page"/>
      </w:r>
      <w:bookmarkStart w:id="92" w:name="_Toc15396614"/>
      <w:bookmarkStart w:id="93" w:name="_Toc113530926"/>
      <w:r>
        <w:rPr>
          <w:rFonts w:hint="eastAsia" w:ascii="黑体" w:hAnsi="黑体" w:eastAsia="黑体"/>
          <w:sz w:val="44"/>
          <w:szCs w:val="44"/>
        </w:rPr>
        <w:t>第</w:t>
      </w:r>
      <w:r>
        <w:rPr>
          <w:rStyle w:val="25"/>
          <w:rFonts w:hint="eastAsia" w:ascii="黑体" w:hAnsi="黑体" w:eastAsia="黑体"/>
          <w:b w:val="0"/>
        </w:rPr>
        <w:t>四部分</w:t>
      </w:r>
      <w:r>
        <w:rPr>
          <w:rStyle w:val="25"/>
          <w:rFonts w:hint="eastAsia" w:ascii="黑体" w:hAnsi="黑体" w:eastAsia="黑体"/>
          <w:b w:val="0"/>
          <w:lang w:val="en-US" w:eastAsia="zh-CN"/>
        </w:rPr>
        <w:t xml:space="preserve">  </w:t>
      </w:r>
      <w:r>
        <w:rPr>
          <w:rStyle w:val="25"/>
          <w:rFonts w:hint="eastAsia" w:ascii="黑体" w:hAnsi="黑体" w:eastAsia="黑体"/>
          <w:b w:val="0"/>
        </w:rPr>
        <w:t>附件</w:t>
      </w:r>
      <w:bookmarkEnd w:id="92"/>
      <w:bookmarkEnd w:id="93"/>
    </w:p>
    <w:p>
      <w:pPr>
        <w:spacing w:line="572" w:lineRule="exact"/>
        <w:jc w:val="left"/>
        <w:outlineLvl w:val="0"/>
        <w:rPr>
          <w:rFonts w:ascii="仿宋_GB2312" w:hAnsi="宋体" w:eastAsia="仿宋_GB2312"/>
          <w:sz w:val="32"/>
          <w:szCs w:val="32"/>
          <w:shd w:val="clear" w:color="auto" w:fill="FFFFFF"/>
        </w:rPr>
      </w:pPr>
      <w:bookmarkStart w:id="94" w:name="_Toc113530927"/>
      <w:r>
        <w:rPr>
          <w:rFonts w:hint="eastAsia" w:ascii="仿宋_GB2312" w:hAnsi="宋体" w:eastAsia="仿宋_GB2312"/>
          <w:sz w:val="32"/>
          <w:szCs w:val="32"/>
          <w:shd w:val="clear" w:color="auto" w:fill="FFFFFF"/>
        </w:rPr>
        <w:t>附件1</w:t>
      </w:r>
      <w:bookmarkEnd w:id="94"/>
    </w:p>
    <w:p>
      <w:pPr>
        <w:spacing w:line="572" w:lineRule="exact"/>
        <w:jc w:val="center"/>
        <w:rPr>
          <w:rFonts w:hint="eastAsia" w:ascii="方正小标宋简体" w:hAnsi="宋体" w:eastAsia="方正小标宋简体"/>
          <w:kern w:val="0"/>
          <w:sz w:val="36"/>
          <w:szCs w:val="36"/>
        </w:rPr>
      </w:pPr>
      <w:r>
        <w:rPr>
          <w:rFonts w:hint="eastAsia" w:ascii="方正小标宋简体" w:hAnsi="宋体" w:eastAsia="方正小标宋简体"/>
          <w:kern w:val="0"/>
          <w:sz w:val="36"/>
          <w:szCs w:val="36"/>
        </w:rPr>
        <w:t>2021年攀枝花市政务服务管理局部门</w:t>
      </w:r>
    </w:p>
    <w:p>
      <w:pPr>
        <w:spacing w:line="572" w:lineRule="exact"/>
        <w:jc w:val="center"/>
        <w:rPr>
          <w:rFonts w:ascii="黑体" w:hAnsi="宋体" w:eastAsia="黑体" w:cs="宋体"/>
          <w:kern w:val="0"/>
          <w:sz w:val="36"/>
          <w:szCs w:val="36"/>
          <w:shd w:val="clear" w:color="auto" w:fill="FFFFFF"/>
        </w:rPr>
      </w:pPr>
      <w:r>
        <w:rPr>
          <w:rFonts w:hint="eastAsia" w:ascii="方正小标宋简体" w:hAnsi="宋体" w:eastAsia="方正小标宋简体"/>
          <w:kern w:val="0"/>
          <w:sz w:val="36"/>
          <w:szCs w:val="36"/>
        </w:rPr>
        <w:t>整体绩效评价报告</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p>
    <w:p>
      <w:pPr>
        <w:widowControl/>
        <w:adjustRightInd w:val="0"/>
        <w:snapToGrid w:val="0"/>
        <w:spacing w:line="572" w:lineRule="exact"/>
        <w:ind w:firstLine="643" w:firstLineChars="200"/>
        <w:contextualSpacing/>
        <w:jc w:val="left"/>
        <w:rPr>
          <w:rFonts w:hint="eastAsia" w:ascii="仿宋_GB2312" w:hAnsi="Calibri" w:eastAsia="仿宋_GB2312" w:cs="仿宋"/>
          <w:color w:val="auto"/>
          <w:kern w:val="0"/>
          <w:sz w:val="32"/>
          <w:szCs w:val="32"/>
          <w:lang w:val="zh-CN" w:eastAsia="zh-CN" w:bidi="ar-SA"/>
        </w:rPr>
      </w:pPr>
      <w:r>
        <w:rPr>
          <w:rFonts w:hint="eastAsia" w:ascii="楷体" w:hAnsi="楷体" w:eastAsia="楷体" w:cs="楷体"/>
          <w:b/>
          <w:bCs/>
          <w:sz w:val="32"/>
          <w:szCs w:val="32"/>
          <w:shd w:val="clear" w:color="auto" w:fill="FFFFFF"/>
          <w:lang w:val="zh-CN" w:eastAsia="zh-CN"/>
        </w:rPr>
        <w:t>（一）机构组成。</w:t>
      </w:r>
      <w:r>
        <w:rPr>
          <w:rFonts w:hint="eastAsia" w:ascii="仿宋_GB2312" w:hAnsi="Calibri" w:eastAsia="仿宋_GB2312" w:cs="仿宋"/>
          <w:color w:val="auto"/>
          <w:kern w:val="0"/>
          <w:sz w:val="32"/>
          <w:szCs w:val="32"/>
          <w:lang w:val="en-US" w:eastAsia="zh-CN" w:bidi="ar-SA"/>
        </w:rPr>
        <w:t>市政务服务管理局属一级预算单位，下属2个事业单位：市政务服务中心和市公共资源交易中心。市政务服务管理局行政编制10个，工勤编制2个；市政务中心事业编制10个；市公共资源交易中心编制21个。</w:t>
      </w:r>
    </w:p>
    <w:p>
      <w:pPr>
        <w:widowControl/>
        <w:adjustRightInd w:val="0"/>
        <w:snapToGrid w:val="0"/>
        <w:spacing w:line="572" w:lineRule="exact"/>
        <w:ind w:firstLine="643" w:firstLineChars="200"/>
        <w:contextualSpacing/>
        <w:jc w:val="left"/>
        <w:rPr>
          <w:rFonts w:hint="eastAsia" w:ascii="楷体" w:hAnsi="楷体" w:eastAsia="楷体" w:cs="楷体"/>
          <w:b/>
          <w:bCs/>
          <w:sz w:val="32"/>
          <w:szCs w:val="32"/>
          <w:shd w:val="clear" w:color="auto" w:fill="FFFFFF"/>
          <w:lang w:val="zh-CN" w:eastAsia="zh-CN"/>
        </w:rPr>
      </w:pPr>
      <w:r>
        <w:rPr>
          <w:rFonts w:hint="eastAsia" w:ascii="楷体" w:hAnsi="楷体" w:eastAsia="楷体" w:cs="楷体"/>
          <w:b/>
          <w:bCs/>
          <w:sz w:val="32"/>
          <w:szCs w:val="32"/>
          <w:shd w:val="clear" w:color="auto" w:fill="FFFFFF"/>
          <w:lang w:val="zh-CN" w:eastAsia="zh-CN"/>
        </w:rPr>
        <w:t>（二）机构职能。</w:t>
      </w:r>
    </w:p>
    <w:p>
      <w:pPr>
        <w:widowControl/>
        <w:adjustRightInd w:val="0"/>
        <w:snapToGrid w:val="0"/>
        <w:spacing w:line="572"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1.组织拟订全市政务服务、行政审批制度改革和公共资源交易管理服务发展规划、政策和措施并组织、指导实施。</w:t>
      </w:r>
    </w:p>
    <w:p>
      <w:pPr>
        <w:widowControl/>
        <w:adjustRightInd w:val="0"/>
        <w:snapToGrid w:val="0"/>
        <w:spacing w:line="572"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负责政务服务管理工作。指导、协调并推进全市政务服务体系建设。指导、协调和监督市级部门（单位）政务服务工作。指导、监督相关电子政务服务平台建设和运行工作。对县、区政务服务管理机构进行业务指导。</w:t>
      </w:r>
    </w:p>
    <w:p>
      <w:pPr>
        <w:widowControl/>
        <w:adjustRightInd w:val="0"/>
        <w:snapToGrid w:val="0"/>
        <w:spacing w:line="572"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3.负责指导、协调、监督并推进全市深化行政审批制度改革工作。</w:t>
      </w:r>
    </w:p>
    <w:p>
      <w:pPr>
        <w:widowControl/>
        <w:adjustRightInd w:val="0"/>
        <w:snapToGrid w:val="0"/>
        <w:spacing w:line="572"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4.负责公共资源交易服务管理工作。指导、协调并推进全市公共资源交易服务体系建设，牵头负责公共资源交易主体信用体系建设。指导、协调、监督管理公共资源交易服务工作。</w:t>
      </w:r>
    </w:p>
    <w:p>
      <w:pPr>
        <w:widowControl/>
        <w:adjustRightInd w:val="0"/>
        <w:snapToGrid w:val="0"/>
        <w:spacing w:line="572"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5.指导、协调、监督、考核进驻部门（单位）的政务服务工作，审核进驻政务服务事项，对部门（单位）独立设置的办事大厅进行业务指导和监督。</w:t>
      </w:r>
    </w:p>
    <w:p>
      <w:pPr>
        <w:widowControl/>
        <w:adjustRightInd w:val="0"/>
        <w:snapToGrid w:val="0"/>
        <w:spacing w:line="572"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6.按照省、市要求，指导、推进相对集中行政许可权改革。</w:t>
      </w:r>
    </w:p>
    <w:p>
      <w:pPr>
        <w:widowControl/>
        <w:adjustRightInd w:val="0"/>
        <w:snapToGrid w:val="0"/>
        <w:spacing w:line="572"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7.负责职责范围的安全生产和职业健康、生态环境保护、审批服务便民化等工作。</w:t>
      </w:r>
    </w:p>
    <w:p>
      <w:pPr>
        <w:widowControl/>
        <w:adjustRightInd w:val="0"/>
        <w:snapToGrid w:val="0"/>
        <w:spacing w:line="572"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8.完成市委、市政府交办的其他任务。</w:t>
      </w:r>
    </w:p>
    <w:p>
      <w:pPr>
        <w:widowControl/>
        <w:adjustRightInd w:val="0"/>
        <w:snapToGrid w:val="0"/>
        <w:spacing w:line="572" w:lineRule="exact"/>
        <w:ind w:firstLine="640" w:firstLineChars="200"/>
        <w:contextualSpacing/>
        <w:jc w:val="left"/>
        <w:rPr>
          <w:rFonts w:hint="eastAsia" w:ascii="仿宋_GB2312" w:hAnsi="Calibri" w:eastAsia="仿宋_GB2312" w:cs="仿宋"/>
          <w:color w:val="auto"/>
          <w:kern w:val="0"/>
          <w:sz w:val="32"/>
          <w:szCs w:val="32"/>
          <w:lang w:val="en-US" w:eastAsia="zh-CN" w:bidi="ar-SA"/>
        </w:rPr>
      </w:pPr>
      <w:bookmarkStart w:id="95" w:name="_Toc113530928"/>
      <w:r>
        <w:rPr>
          <w:rFonts w:hint="eastAsia" w:ascii="仿宋_GB2312" w:hAnsi="Calibri" w:eastAsia="仿宋_GB2312" w:cs="仿宋"/>
          <w:color w:val="auto"/>
          <w:kern w:val="0"/>
          <w:sz w:val="32"/>
          <w:szCs w:val="32"/>
          <w:lang w:val="en-US" w:eastAsia="zh-CN" w:bidi="ar-SA"/>
        </w:rPr>
        <w:t>9.职能转变。坚持以人民为中心的发展思想，以方便企业和群众办事为目标，努力提高政务服务质量和效率。规范行政审批行为，督促落实审批事项事中事后监管措施。加快推进审批服务便民化相关举措，持续开展减证便民行动，积极推进政务服务“一网、一门、一次”改革。</w:t>
      </w:r>
      <w:bookmarkEnd w:id="95"/>
    </w:p>
    <w:p>
      <w:pPr>
        <w:widowControl/>
        <w:adjustRightInd w:val="0"/>
        <w:snapToGrid w:val="0"/>
        <w:spacing w:line="572" w:lineRule="exact"/>
        <w:ind w:firstLine="643" w:firstLineChars="200"/>
        <w:contextualSpacing/>
        <w:jc w:val="left"/>
        <w:rPr>
          <w:rFonts w:hint="eastAsia" w:ascii="仿宋_GB2312" w:hAnsi="Calibri" w:eastAsia="仿宋_GB2312" w:cs="仿宋"/>
          <w:color w:val="auto"/>
          <w:kern w:val="0"/>
          <w:sz w:val="32"/>
          <w:szCs w:val="32"/>
          <w:lang w:val="en-US" w:eastAsia="zh-CN" w:bidi="ar-SA"/>
        </w:rPr>
      </w:pPr>
      <w:r>
        <w:rPr>
          <w:rFonts w:hint="eastAsia" w:ascii="楷体" w:hAnsi="楷体" w:eastAsia="楷体" w:cs="楷体"/>
          <w:b/>
          <w:bCs/>
          <w:sz w:val="32"/>
          <w:szCs w:val="32"/>
          <w:shd w:val="clear" w:color="auto" w:fill="FFFFFF"/>
          <w:lang w:val="zh-CN" w:eastAsia="zh-CN"/>
        </w:rPr>
        <w:t>（三）人员概况。</w:t>
      </w:r>
      <w:r>
        <w:rPr>
          <w:rFonts w:hint="eastAsia" w:ascii="仿宋_GB2312" w:hAnsi="Calibri" w:eastAsia="仿宋_GB2312" w:cs="仿宋"/>
          <w:color w:val="auto"/>
          <w:kern w:val="0"/>
          <w:sz w:val="32"/>
          <w:szCs w:val="32"/>
          <w:lang w:val="en-US" w:eastAsia="zh-CN" w:bidi="ar-SA"/>
        </w:rPr>
        <w:t>2021年末实有一般公共预算财政拨款开支在职人员35人，其中：行政人员15人（公务员14人、机关工勤1人）；事业人员22人。2021年末实有一般公共预算财政拨款开支其他人员1人，为按攀﹝2012﹞86号文管理司勤人员。</w:t>
      </w:r>
    </w:p>
    <w:p>
      <w:pPr>
        <w:widowControl/>
        <w:adjustRightInd w:val="0"/>
        <w:snapToGrid w:val="0"/>
        <w:spacing w:line="572"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80" w:lineRule="exact"/>
        <w:ind w:firstLine="643" w:firstLineChars="200"/>
        <w:contextualSpacing/>
        <w:jc w:val="left"/>
        <w:rPr>
          <w:rFonts w:ascii="仿宋_GB2312" w:hAnsi="仿宋" w:eastAsia="仿宋_GB2312"/>
          <w:sz w:val="32"/>
          <w:szCs w:val="32"/>
        </w:rPr>
      </w:pPr>
      <w:r>
        <w:rPr>
          <w:rFonts w:hint="eastAsia" w:ascii="楷体" w:hAnsi="楷体" w:eastAsia="楷体" w:cs="楷体"/>
          <w:b/>
          <w:bCs/>
          <w:sz w:val="32"/>
          <w:szCs w:val="32"/>
          <w:shd w:val="clear" w:color="auto" w:fill="FFFFFF"/>
          <w:lang w:val="zh-CN"/>
        </w:rPr>
        <w:t>（一）部门财政资金收入情况。</w:t>
      </w:r>
      <w:r>
        <w:rPr>
          <w:rFonts w:hint="eastAsia" w:ascii="仿宋_GB2312" w:hAnsi="仿宋" w:eastAsia="仿宋_GB2312"/>
          <w:sz w:val="32"/>
          <w:szCs w:val="32"/>
        </w:rPr>
        <w:t>2021年一般公共预算财政拨款收入2002.6万元，其中：当年财政拨款收入1481.99万元，上年结转520.6万元。</w:t>
      </w:r>
    </w:p>
    <w:p>
      <w:pPr>
        <w:spacing w:line="600" w:lineRule="exact"/>
        <w:ind w:firstLine="640" w:firstLineChars="200"/>
        <w:outlineLvl w:val="1"/>
        <w:rPr>
          <w:rFonts w:ascii="仿宋_GB2312" w:hAnsi="宋体" w:eastAsia="仿宋_GB2312" w:cs="宋体"/>
          <w:kern w:val="0"/>
          <w:sz w:val="32"/>
          <w:szCs w:val="32"/>
          <w:shd w:val="clear" w:color="auto" w:fill="FFFFFF"/>
        </w:rPr>
      </w:pPr>
    </w:p>
    <w:p>
      <w:pPr>
        <w:widowControl/>
        <w:adjustRightInd w:val="0"/>
        <w:snapToGrid w:val="0"/>
        <w:spacing w:line="572" w:lineRule="exact"/>
        <w:ind w:firstLine="643" w:firstLineChars="200"/>
        <w:contextualSpacing/>
        <w:jc w:val="left"/>
        <w:rPr>
          <w:rFonts w:ascii="仿宋_GB2312" w:hAnsi="宋体" w:eastAsia="仿宋_GB2312" w:cs="宋体"/>
          <w:kern w:val="0"/>
          <w:sz w:val="32"/>
          <w:szCs w:val="32"/>
          <w:shd w:val="clear" w:color="auto" w:fill="FFFFFF"/>
          <w:lang w:val="zh-CN"/>
        </w:rPr>
      </w:pPr>
      <w:r>
        <w:rPr>
          <w:rFonts w:hint="eastAsia" w:ascii="楷体" w:hAnsi="楷体" w:eastAsia="楷体" w:cs="楷体"/>
          <w:b/>
          <w:bCs/>
          <w:sz w:val="32"/>
          <w:szCs w:val="32"/>
          <w:shd w:val="clear" w:color="auto" w:fill="FFFFFF"/>
          <w:lang w:val="zh-CN"/>
        </w:rPr>
        <w:t>（二）部门财政资金支出情况。</w:t>
      </w:r>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1991.9</w:t>
      </w:r>
      <w:r>
        <w:rPr>
          <w:rFonts w:hint="eastAsia" w:ascii="仿宋" w:hAnsi="仿宋" w:eastAsia="仿宋"/>
          <w:sz w:val="32"/>
          <w:szCs w:val="32"/>
        </w:rPr>
        <w:t>万元，其中：基本支出</w:t>
      </w:r>
      <w:r>
        <w:rPr>
          <w:rFonts w:ascii="仿宋" w:hAnsi="仿宋" w:eastAsia="仿宋"/>
          <w:sz w:val="32"/>
          <w:szCs w:val="32"/>
        </w:rPr>
        <w:t>793.07</w:t>
      </w:r>
      <w:r>
        <w:rPr>
          <w:rFonts w:hint="eastAsia" w:ascii="仿宋" w:hAnsi="仿宋" w:eastAsia="仿宋"/>
          <w:sz w:val="32"/>
          <w:szCs w:val="32"/>
        </w:rPr>
        <w:t>万元，占39.81</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1198.83</w:t>
      </w:r>
      <w:r>
        <w:rPr>
          <w:rFonts w:hint="eastAsia" w:ascii="仿宋" w:hAnsi="仿宋" w:eastAsia="仿宋"/>
          <w:sz w:val="32"/>
          <w:szCs w:val="32"/>
        </w:rPr>
        <w:t>万元，占60.19</w:t>
      </w:r>
      <w:r>
        <w:rPr>
          <w:rFonts w:ascii="仿宋" w:hAnsi="仿宋" w:eastAsia="仿宋"/>
          <w:sz w:val="32"/>
          <w:szCs w:val="32"/>
        </w:rPr>
        <w:t>%</w:t>
      </w:r>
      <w:r>
        <w:rPr>
          <w:rFonts w:hint="eastAsia" w:ascii="仿宋" w:hAnsi="仿宋" w:eastAsia="仿宋"/>
          <w:sz w:val="32"/>
          <w:szCs w:val="32"/>
        </w:rPr>
        <w:t>。</w:t>
      </w:r>
    </w:p>
    <w:p>
      <w:pPr>
        <w:widowControl/>
        <w:adjustRightInd w:val="0"/>
        <w:snapToGrid w:val="0"/>
        <w:spacing w:line="572" w:lineRule="exact"/>
        <w:ind w:firstLine="640" w:firstLineChars="200"/>
        <w:contextualSpacing/>
        <w:jc w:val="left"/>
        <w:rPr>
          <w:rFonts w:hint="eastAsia"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72" w:lineRule="exact"/>
        <w:ind w:firstLine="643" w:firstLineChars="200"/>
        <w:contextualSpacing/>
        <w:jc w:val="left"/>
        <w:rPr>
          <w:rFonts w:hint="eastAsia" w:ascii="楷体" w:hAnsi="楷体" w:eastAsia="楷体" w:cs="楷体"/>
          <w:b/>
          <w:bCs/>
          <w:sz w:val="32"/>
          <w:szCs w:val="32"/>
          <w:shd w:val="clear" w:color="auto" w:fill="FFFFFF"/>
          <w:lang w:val="zh-CN"/>
        </w:rPr>
      </w:pPr>
      <w:r>
        <w:rPr>
          <w:rFonts w:hint="eastAsia" w:ascii="楷体" w:hAnsi="楷体" w:eastAsia="楷体" w:cs="楷体"/>
          <w:b/>
          <w:bCs/>
          <w:sz w:val="32"/>
          <w:szCs w:val="32"/>
          <w:shd w:val="clear" w:color="auto" w:fill="FFFFFF"/>
          <w:lang w:val="zh-CN"/>
        </w:rPr>
        <w:t>（一）市级财政资金绩效目标完成情况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1.产出指标完成情况分析。包括数量指标、质量指标、时效指标和成本指标。</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数量指标：推动实现全市10365项政务服务事项办理全流程“最多跑一次”，占事项总数的96.38%，10745项政务服务事项实现网上可办，占事项总数的99.92%。全市共计229项政务服务事项实现“省内通办”，210项政务服务事项实现“川渝通办”，148项政务服务事项实现“跨省通办”。优化工程项目审批，将工程项目审批事项由原来的87项压减至65项，审批时限由原来的300多天压缩至90天以内。将人防、消防、技术性审查统一纳入到施工图审查环节，联合审图率达100%。截止目前，共计入驻窗口单位55个，入驻窗口工作人员700余人，入驻审批服务事项1361项，共设前台窗口167个，入驻单位、入驻人员、入驻事项数量均为全省之最。大厅总维护面积5万余平方。</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（2）质量指标：重点任务完成率指标值为100%，实际完成数100%，完成率100%。</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时效指标：①工作任务完成时间节点指标值为年度内完成，实际已完成，完成率100%。②资金使用进度指标值为按实际工作开展进度，实际已完成，完成率100%。</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成本指标：支出控制率（实际财政支出/计划财政支出）指标值为预期目标任务范围内≤100%，实际已完成，完成率100%。</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（3）效益指标完成情况分析。包括经济效益、社会效益、生态效益和可持续影响。</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经济效益：优化办事流程实现“最多跑一次”改革，提升优化营商环境能力。</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社会效益：在市、县、乡三级政务服务机构共设立55个“办不成事”受理窗口，今年以来，全市“办不成事”受理窗口共受理解决各类“办不成”的事127件。截至目前，全市共计229项政务服务事项实现“省内通办”，210项政务服务事项实现“川渝通办”，148项政务服务事项实现“跨省通办”。 推动实现政务服务由“群众跑”向“部门跑”转变。今年以来，共为特殊群体办事群众提供上门帮办代办服务7000余件次。</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生态效益：改善群众办事环境指标值为有所改善，实际有所改善，完成率100%。。</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可持续影响：①持续优化创新创业发展环境。以机制改革激发创新活力，将人才的市场价值、经济贡献作为主要评价标准，探索建立经济贡献与奖励补贴挂钩的长效激励机制，发放人才奖补5000余万元。以要素保障加速成果转换，鼓励金融机构提供人贷、创业险等金融服务，为科技型企业提供100余亿元授信支撑。以优质服务增强人才黏性，拓展“攀枝花英才卡”15项服务内容，设立“人才服务专窗”“攀枝花人才码”，建成人才公寓418套，为300余名高层次人才提供父母养老、子女就学、配偶就业等服务。②持续压降企业生产经营成本。全面落实“七不准、四公开”、小微企业“两禁两限”等规定，清理不必要“通道”“过桥”环节，缩短融资链条，精简服务收费项目。今年1-11月，全市法人机构申报普惠小微企业信用贷款支持工具104.5万元，有效引导和支持其发放普惠小微信用贷款1.76亿元；银行机构累计发放普惠小微信用贷款25.47亿元，占同期普惠小微贷款发放额的61.08%，普惠小微贷款余额59.66亿元，普惠小微户数17579户。持续加强天府信用通平台推广应用，通过召开金融机构主要负责人会议、年度征信工作会议等形式加大通报和督导，积极引导企业上平台注册和发布融资需求，指导金融机构开展信用信息查询和线上融资对接，改善用信、守信融资体验。截至目前，平台备案金融产品285项，已注册企业和个人用户4933户，平台实现签约1254笔，签约金额157.69亿元，贷款加权平均利率5.79%，惠及827户企业。③持续深化商事制度改革。持续推进“证照分离”“多证合一”改革，将226项企业登记前置审批中的191项改为后置审批或直接取消，1-11月，共办理“证照分离”登记业务256件，设立登记171件，变更登记992件，备案登记74件，注销登记129件，惠及企业2462家，企业开办全流程办理时限压缩至1个工作日。持续优化市场准入“自公告”预服务，搭建了线上运行的微信小程序，建立市场主体服务需求精准收集快速响应机制，将证照办理由窗口受理、审核阶段向企业群众申请准备阶段拓展，变“坐等上门申请审批”为“主动对接提供个性化服务”，推动市场监管领域23大类218项行政审批事项全面实现“自公告”预服务。④持续推进简政放权。一是优化办税服务。在全省率先探索推行全市统一的税费服务支持中心，建成全省唯一市州局智能办税服务厅，为纳税人提供一站式在线咨询、热线接听、办税辅导、消息推送等服务。二是优化工程项目审批。将工程项目审批事项由原来的87项压减至65项，审批时限由原来的300多天压缩至90天以内。将人防、消防、技术性审查统一纳入到施工图审查环节，联合审图率达100%。三是优化不动产登记服务。推行“市县联动、全城通办、就近登记”新模式，实现二手房转移登记1个工作日办结、企业间办理非住宅的转移和抵押登记0.5个工作日办结，注销和查封登记现场办结，其他一般登记、抵押登记业务3个工作日办结。四是深入开展“放管服”改革向基层延伸专项行动。扎实推进镇村便民服务体系“三化”，全面完成米易县白马镇、攀莲镇两个省级试点验收申报工作。</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（4）满意度指标完成情况分析。</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满意度指值标为服务对象满意度达到80%，实际完成数为80%以上，完成率100%。</w:t>
      </w:r>
    </w:p>
    <w:p>
      <w:pPr>
        <w:widowControl/>
        <w:adjustRightInd w:val="0"/>
        <w:snapToGrid w:val="0"/>
        <w:spacing w:line="572" w:lineRule="exact"/>
        <w:ind w:firstLine="643" w:firstLineChars="200"/>
        <w:contextualSpacing/>
        <w:jc w:val="left"/>
        <w:rPr>
          <w:rFonts w:hint="eastAsia" w:ascii="楷体" w:hAnsi="楷体" w:eastAsia="楷体" w:cs="楷体"/>
          <w:b/>
          <w:bCs/>
          <w:kern w:val="0"/>
          <w:sz w:val="32"/>
          <w:szCs w:val="32"/>
          <w:shd w:val="clear" w:color="auto" w:fill="FFFFFF"/>
          <w:lang w:val="zh-CN"/>
        </w:rPr>
      </w:pPr>
      <w:r>
        <w:rPr>
          <w:rFonts w:hint="eastAsia" w:ascii="楷体" w:hAnsi="楷体" w:eastAsia="楷体" w:cs="楷体"/>
          <w:b/>
          <w:bCs/>
          <w:kern w:val="0"/>
          <w:sz w:val="32"/>
          <w:szCs w:val="32"/>
          <w:shd w:val="clear" w:color="auto" w:fill="FFFFFF"/>
          <w:lang w:val="zh-CN"/>
        </w:rPr>
        <w:t>（二）市级专项（项目）资金绩效目标完成情况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项目一：业务运行费</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1.产出指标完成情况分析。包括数量指标、质量指标、时效指标和成本指标。</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（1）数量指标：一是2021年上缴土地交易手续费3051.30万元。二是缴纳增值税和附加费，2021年缴纳增值税及附加费65.58万元。三是按照川财采〔2014〕8号文件精神支付专家评审费共计10.46万元。</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（2）质量指标：提高土地出让宣传力度，增强土地竞买力；提高政府集中采购水平，节约专家评审费和各采购人、投标人的成本。</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（3）时效指标：2021年全年预算执行率100%。</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2.效益指标完成情况分析。包括经济效益、社会效益、生态效益和可持续影响。</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（1）经济效益指标：增加财政收入；政府采购项目节约率≧2（不含网上竞价）。</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（2）社会效益指标：建设高效、规范、廉洁的交易平台。</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服务对象满意度指标：认可度达到100%。</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项目二：收入征管成本</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1.产出指标完成情况分析。包括数量指标、质量指标、时效指标和成本指标。</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（1）数量指标：一是2021年上缴土地交易手续费3051.30万元。二是缴纳增值税和附加费，2021年缴纳增值税及附加费65.58万元。三是按照川财采〔2014〕8号文件精神支付专家评审费共计10.46万元。</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（2）质量指标：提高土地出让宣传力度，增强土地竞买力；提高政府集中采购水平，节约专家评审费和各采购人、投标人的成本。</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（3）时效指标：2021年全年预算执行率100%。</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2.效益指标完成情况分析。包括经济效益、社会效益、生态效益和可持续影响。</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（1）经济效益指标：增加财政收入；政府采购项目节约率≧2（不含网上竞价）。</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（2）社会效益指标：建设高效、规范、廉洁的交易平台。</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服务对象满意度指标：认可度达到100%</w:t>
      </w:r>
    </w:p>
    <w:p>
      <w:pPr>
        <w:widowControl/>
        <w:adjustRightInd w:val="0"/>
        <w:snapToGrid w:val="0"/>
        <w:spacing w:line="572" w:lineRule="exact"/>
        <w:ind w:firstLine="643" w:firstLineChars="200"/>
        <w:contextualSpacing/>
        <w:jc w:val="left"/>
        <w:rPr>
          <w:rFonts w:hint="eastAsia" w:ascii="楷体" w:hAnsi="楷体" w:eastAsia="楷体" w:cs="楷体"/>
          <w:b/>
          <w:bCs/>
          <w:kern w:val="0"/>
          <w:sz w:val="32"/>
          <w:szCs w:val="32"/>
          <w:shd w:val="clear" w:color="auto" w:fill="FFFFFF"/>
          <w:lang w:val="zh-CN"/>
        </w:rPr>
      </w:pPr>
      <w:r>
        <w:rPr>
          <w:rFonts w:hint="eastAsia" w:ascii="楷体" w:hAnsi="楷体" w:eastAsia="楷体" w:cs="楷体"/>
          <w:b/>
          <w:bCs/>
          <w:kern w:val="0"/>
          <w:sz w:val="32"/>
          <w:szCs w:val="32"/>
          <w:shd w:val="clear" w:color="auto" w:fill="FFFFFF"/>
          <w:lang w:val="zh-CN"/>
        </w:rPr>
        <w:t>（三）自评结论</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预算管理：（1）管理制度健全。2021年我局完善了内部管理制度，在费用的审批支出和报销流程的管理上加强了管理，使资金的支出更严格；制定了财务职责，制定了厉行节约制度，管理制度依照相关法律法规而制定，具有合法性、合规性、完整性；相关制度得到认真执行；</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使用合规性，一切支出按照国家财经法规和财务管理制度规定以及专项资金管理办法办理，财务人员认真审核每笔业务的合规性、手续完整性和资料的准确性。健全会计核算，按照国家统一会计制度的规定设置会计账簿，依照规定进行会计处理，保证会计指标的口径一致。资金拨付有完善的审批程序和手续，支出符合部门预算批复的用途，资金使用无截留、挤占挪用、虚列支出等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2.履职效益：</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 xml:space="preserve">（1）行政效能。我局高度重视行政效能建设，深入贯彻“放管服”、“最多跑一次”、“一窗、一门、一网通办”，认真落实政策，制定改革方案，明确工作职责。推进政务服务公开，提升人民群众满意度；明确相关科室职责，端正工作态度，转变机关作风；认真履行工作职责，进一步增强责任和服务意识。加强经费及资产管理；充分降低行政运行成本。        </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（2）社会公众或服务对象满意度。通过提升服务质量，强化服务意识，工作人员对待办事群众态度热情，工作积极性高，广大群众和服务对象满意度高，满意率为99.86%。</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综合以上各项指标，财务管理健全规范，没有发生违法违规情况，我局2021年部门整体支出绩效自我评价认定结果：良好。我局将在以后的工作中加强预算管理，严格控制各项经费的开支，提高经费的使用效率。</w:t>
      </w:r>
    </w:p>
    <w:p>
      <w:pPr>
        <w:widowControl/>
        <w:adjustRightInd w:val="0"/>
        <w:snapToGrid w:val="0"/>
        <w:spacing w:line="572" w:lineRule="exact"/>
        <w:ind w:firstLine="643"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楷体" w:hAnsi="楷体" w:eastAsia="楷体" w:cs="楷体"/>
          <w:b/>
          <w:bCs/>
          <w:kern w:val="0"/>
          <w:sz w:val="32"/>
          <w:szCs w:val="32"/>
          <w:shd w:val="clear" w:color="auto" w:fill="FFFFFF"/>
          <w:lang w:val="zh-CN"/>
        </w:rPr>
        <w:t>（四）自评质量:</w:t>
      </w:r>
      <w:r>
        <w:rPr>
          <w:rFonts w:hint="eastAsia" w:ascii="仿宋_GB2312" w:hAnsi="宋体" w:eastAsia="仿宋_GB2312" w:cs="宋体"/>
          <w:kern w:val="0"/>
          <w:sz w:val="32"/>
          <w:szCs w:val="32"/>
          <w:shd w:val="clear" w:color="auto" w:fill="FFFFFF"/>
          <w:lang w:val="zh-CN"/>
        </w:rPr>
        <w:t>部门整体支出自评内容与要求基本符合，内容完善，总体质量较好。</w:t>
      </w:r>
    </w:p>
    <w:p>
      <w:pPr>
        <w:widowControl/>
        <w:adjustRightInd w:val="0"/>
        <w:snapToGrid w:val="0"/>
        <w:spacing w:line="572" w:lineRule="exact"/>
        <w:ind w:firstLine="640" w:firstLineChars="200"/>
        <w:contextualSpacing/>
        <w:jc w:val="left"/>
        <w:rPr>
          <w:rFonts w:hint="eastAsia" w:ascii="黑体" w:hAnsi="黑体" w:eastAsia="黑体" w:cs="黑体"/>
          <w:kern w:val="0"/>
          <w:sz w:val="32"/>
          <w:szCs w:val="32"/>
          <w:shd w:val="clear" w:color="auto" w:fill="FFFFFF"/>
          <w:lang w:val="zh-CN"/>
        </w:rPr>
      </w:pPr>
      <w:r>
        <w:rPr>
          <w:rFonts w:hint="eastAsia" w:ascii="黑体" w:hAnsi="黑体" w:eastAsia="黑体" w:cs="黑体"/>
          <w:kern w:val="0"/>
          <w:sz w:val="32"/>
          <w:szCs w:val="32"/>
          <w:shd w:val="clear" w:color="auto" w:fill="FFFFFF"/>
          <w:lang w:val="zh-CN"/>
        </w:rPr>
        <w:t>四、评价结论及建议</w:t>
      </w:r>
    </w:p>
    <w:p>
      <w:pPr>
        <w:widowControl/>
        <w:adjustRightInd w:val="0"/>
        <w:snapToGrid w:val="0"/>
        <w:spacing w:line="572" w:lineRule="exact"/>
        <w:ind w:firstLine="643"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楷体" w:hAnsi="楷体" w:eastAsia="楷体" w:cs="楷体"/>
          <w:b/>
          <w:bCs/>
          <w:kern w:val="0"/>
          <w:sz w:val="32"/>
          <w:szCs w:val="32"/>
          <w:shd w:val="clear" w:color="auto" w:fill="FFFFFF"/>
          <w:lang w:val="zh-CN"/>
        </w:rPr>
        <w:t>（一）评价结论。</w:t>
      </w:r>
      <w:r>
        <w:rPr>
          <w:rFonts w:hint="eastAsia" w:ascii="仿宋_GB2312" w:hAnsi="宋体" w:eastAsia="仿宋_GB2312" w:cs="宋体"/>
          <w:kern w:val="0"/>
          <w:sz w:val="32"/>
          <w:szCs w:val="32"/>
          <w:shd w:val="clear" w:color="auto" w:fill="FFFFFF"/>
          <w:lang w:val="zh-CN"/>
        </w:rPr>
        <w:t>攀枝花市政务服务管理局资金政策依据较充分，绩效目标明确，资金使用和项目管理规范。</w:t>
      </w:r>
    </w:p>
    <w:p>
      <w:pPr>
        <w:widowControl/>
        <w:adjustRightInd w:val="0"/>
        <w:snapToGrid w:val="0"/>
        <w:spacing w:line="572" w:lineRule="exact"/>
        <w:ind w:firstLine="643"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楷体" w:hAnsi="楷体" w:eastAsia="楷体" w:cs="楷体"/>
          <w:b/>
          <w:bCs/>
          <w:kern w:val="0"/>
          <w:sz w:val="32"/>
          <w:szCs w:val="32"/>
          <w:shd w:val="clear" w:color="auto" w:fill="FFFFFF"/>
          <w:lang w:val="zh-CN"/>
        </w:rPr>
        <w:t>（二）存在问题。</w:t>
      </w:r>
      <w:r>
        <w:rPr>
          <w:rFonts w:hint="eastAsia" w:ascii="仿宋_GB2312" w:hAnsi="宋体" w:eastAsia="仿宋_GB2312" w:cs="宋体"/>
          <w:kern w:val="0"/>
          <w:sz w:val="32"/>
          <w:szCs w:val="32"/>
          <w:shd w:val="clear" w:color="auto" w:fill="FFFFFF"/>
          <w:lang w:val="zh-CN"/>
        </w:rPr>
        <w:t>预算编制准确性有待进一步提高</w:t>
      </w:r>
    </w:p>
    <w:p>
      <w:pPr>
        <w:widowControl/>
        <w:adjustRightInd w:val="0"/>
        <w:snapToGrid w:val="0"/>
        <w:spacing w:line="572" w:lineRule="exact"/>
        <w:ind w:firstLine="643"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楷体" w:hAnsi="楷体" w:eastAsia="楷体" w:cs="楷体"/>
          <w:b/>
          <w:bCs/>
          <w:kern w:val="0"/>
          <w:sz w:val="32"/>
          <w:szCs w:val="32"/>
          <w:shd w:val="clear" w:color="auto" w:fill="FFFFFF"/>
          <w:lang w:val="zh-CN"/>
        </w:rPr>
        <w:t>（三）改进建议。</w:t>
      </w:r>
      <w:r>
        <w:rPr>
          <w:rFonts w:hint="eastAsia" w:ascii="仿宋_GB2312" w:hAnsi="宋体" w:eastAsia="仿宋_GB2312" w:cs="宋体"/>
          <w:kern w:val="0"/>
          <w:sz w:val="32"/>
          <w:szCs w:val="32"/>
          <w:shd w:val="clear" w:color="auto" w:fill="FFFFFF"/>
          <w:lang w:val="zh-CN"/>
        </w:rPr>
        <w:t>在编制预算时，应结合上年实际开支，合理编制当年预算，提高预算编制的准确度，科学、合理的测算部门收支，提高预算精细化管理水平。</w:t>
      </w:r>
    </w:p>
    <w:tbl>
      <w:tblPr>
        <w:tblStyle w:val="13"/>
        <w:tblpPr w:leftFromText="180" w:rightFromText="180" w:horzAnchor="margin" w:tblpXSpec="center" w:tblpY="246"/>
        <w:tblW w:w="12460" w:type="dxa"/>
        <w:tblInd w:w="0" w:type="dxa"/>
        <w:tblLayout w:type="autofit"/>
        <w:tblCellMar>
          <w:top w:w="0" w:type="dxa"/>
          <w:left w:w="108" w:type="dxa"/>
          <w:bottom w:w="0" w:type="dxa"/>
          <w:right w:w="108" w:type="dxa"/>
        </w:tblCellMar>
      </w:tblPr>
      <w:tblGrid>
        <w:gridCol w:w="740"/>
        <w:gridCol w:w="740"/>
        <w:gridCol w:w="1480"/>
        <w:gridCol w:w="2535"/>
        <w:gridCol w:w="385"/>
        <w:gridCol w:w="1741"/>
        <w:gridCol w:w="539"/>
        <w:gridCol w:w="1020"/>
        <w:gridCol w:w="960"/>
        <w:gridCol w:w="1020"/>
        <w:gridCol w:w="1300"/>
      </w:tblGrid>
      <w:tr>
        <w:tblPrEx>
          <w:tblCellMar>
            <w:top w:w="0" w:type="dxa"/>
            <w:left w:w="108" w:type="dxa"/>
            <w:bottom w:w="0" w:type="dxa"/>
            <w:right w:w="108" w:type="dxa"/>
          </w:tblCellMar>
        </w:tblPrEx>
        <w:trPr>
          <w:trHeight w:val="675" w:hRule="atLeast"/>
        </w:trPr>
        <w:tc>
          <w:tcPr>
            <w:tcW w:w="12460" w:type="dxa"/>
            <w:gridSpan w:val="11"/>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市级部门预算整体绩效自评表</w:t>
            </w:r>
          </w:p>
        </w:tc>
      </w:tr>
      <w:tr>
        <w:tblPrEx>
          <w:tblCellMar>
            <w:top w:w="0" w:type="dxa"/>
            <w:left w:w="108" w:type="dxa"/>
            <w:bottom w:w="0" w:type="dxa"/>
            <w:right w:w="108" w:type="dxa"/>
          </w:tblCellMar>
        </w:tblPrEx>
        <w:trPr>
          <w:trHeight w:val="285" w:hRule="atLeast"/>
        </w:trPr>
        <w:tc>
          <w:tcPr>
            <w:tcW w:w="12460" w:type="dxa"/>
            <w:gridSpan w:val="11"/>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2021</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92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28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98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02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300"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单位名称</w:t>
            </w:r>
          </w:p>
        </w:tc>
        <w:tc>
          <w:tcPr>
            <w:tcW w:w="950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攀枝花市政务服务管理局</w:t>
            </w:r>
          </w:p>
        </w:tc>
      </w:tr>
      <w:tr>
        <w:tblPrEx>
          <w:tblCellMar>
            <w:top w:w="0" w:type="dxa"/>
            <w:left w:w="108" w:type="dxa"/>
            <w:bottom w:w="0" w:type="dxa"/>
            <w:right w:w="108" w:type="dxa"/>
          </w:tblCellMar>
        </w:tblPrEx>
        <w:trPr>
          <w:trHeight w:val="439" w:hRule="atLeast"/>
        </w:trPr>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主管部门名称</w:t>
            </w:r>
          </w:p>
        </w:tc>
        <w:tc>
          <w:tcPr>
            <w:tcW w:w="9500"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攀枝花市政务服务管理局</w:t>
            </w:r>
          </w:p>
        </w:tc>
      </w:tr>
      <w:tr>
        <w:tblPrEx>
          <w:tblCellMar>
            <w:top w:w="0" w:type="dxa"/>
            <w:left w:w="108" w:type="dxa"/>
            <w:bottom w:w="0" w:type="dxa"/>
            <w:right w:w="108" w:type="dxa"/>
          </w:tblCellMar>
        </w:tblPrEx>
        <w:trPr>
          <w:trHeight w:val="439" w:hRule="atLeast"/>
        </w:trPr>
        <w:tc>
          <w:tcPr>
            <w:tcW w:w="296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25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66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23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年度资金总额：</w:t>
            </w:r>
          </w:p>
        </w:tc>
        <w:tc>
          <w:tcPr>
            <w:tcW w:w="266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1939.06</w:t>
            </w: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1166.618486</w:t>
            </w:r>
          </w:p>
        </w:tc>
        <w:tc>
          <w:tcPr>
            <w:tcW w:w="23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60.16</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其中：财政拨款</w:t>
            </w:r>
          </w:p>
        </w:tc>
        <w:tc>
          <w:tcPr>
            <w:tcW w:w="266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1939.06</w:t>
            </w: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1166.618486</w:t>
            </w:r>
          </w:p>
        </w:tc>
        <w:tc>
          <w:tcPr>
            <w:tcW w:w="23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60.16</w:t>
            </w:r>
          </w:p>
        </w:tc>
      </w:tr>
      <w:tr>
        <w:tblPrEx>
          <w:tblCellMar>
            <w:top w:w="0" w:type="dxa"/>
            <w:left w:w="108" w:type="dxa"/>
            <w:bottom w:w="0" w:type="dxa"/>
            <w:right w:w="108" w:type="dxa"/>
          </w:tblCellMar>
        </w:tblPrEx>
        <w:trPr>
          <w:trHeight w:val="439" w:hRule="atLeast"/>
        </w:trPr>
        <w:tc>
          <w:tcPr>
            <w:tcW w:w="296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其他资金</w:t>
            </w:r>
          </w:p>
        </w:tc>
        <w:tc>
          <w:tcPr>
            <w:tcW w:w="2665"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3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475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6965"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3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755" w:type="dxa"/>
            <w:gridSpan w:val="3"/>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4"/>
              </w:rPr>
            </w:pPr>
            <w:r>
              <w:rPr>
                <w:rFonts w:hint="eastAsia" w:ascii="宋体" w:hAnsi="宋体" w:cs="宋体"/>
                <w:kern w:val="0"/>
                <w:sz w:val="24"/>
              </w:rPr>
              <w:t>按照市委、市政府“建一流政务服务中心”的建设总要求，结合“放管服”改革和政府职能转变的发展走势，新中心将在原进驻内容的基础上，依照“四个有机结合”的入驻基本原则，新增与中心办理事项密切的办理环节，增补与法人、自然人及其他社会组织密切相关的公共服务事项和行权事项，扩充网上服务、自助服务、智能办公等“互联网+政务服务”内容，为广大市民和企业营造高效、规范、便捷的政务服务环境。随着入驻事项增加，办事群众也将会随之增长，为满足工作需求，更好的保障群众利益，提升政府形象，提高群众满意度，落实省、市关于“建一流政务服务中心”的要求。</w:t>
            </w:r>
          </w:p>
        </w:tc>
        <w:tc>
          <w:tcPr>
            <w:tcW w:w="6965"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按照市委、市政府“建一流政务服务中心”的建设总要求，结合“放管服”改革和政府职能转变的发展走势，新中心将在原进驻内容的基础上，依照“四个有机结合”的入驻基本原则，新增与中心办理事项密切的办理环节，增补与法人、自然人及其他社会组织密切相关的公共服务事项和行权事项，扩充网上服务、自助服务、智能办公等“互联网+政务服务”内容，为广大市民和企业营造高效、规范、便捷的政务服务环境。随着入驻事项增加，办事群众也将会随之增长，为满足工作需求，更好的保障群众利益，提升政府形象，提高群众满意度，落实省、市关于“建一流政务服务中心”的要求。</w:t>
            </w:r>
          </w:p>
        </w:tc>
      </w:tr>
      <w:tr>
        <w:tblPrEx>
          <w:tblCellMar>
            <w:top w:w="0" w:type="dxa"/>
            <w:left w:w="108" w:type="dxa"/>
            <w:bottom w:w="0" w:type="dxa"/>
            <w:right w:w="108" w:type="dxa"/>
          </w:tblCellMar>
        </w:tblPrEx>
        <w:trPr>
          <w:trHeight w:val="57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25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指标1：推动实现全市政务服务事项办理全流程“最多跑一次”</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实现全市10627项政务服务事项办理全流程“最多跑一次”</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完成10627项</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指标2：政务服务事项实现网上可办</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实现10624项网上可办</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完成10624项</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指标3：全市共计229项政务服务事项实现“省内通办”，210项政务服务事项实现“川渝通办”，148项政务服务事项实现“跨省通办”。</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指标4：优化工程项目审批，将工程项目审批事项由原来的87项压减至65项，审批时限由原来的300多天压缩至90天以内。将人防、消防、技术性审查统一纳入到施工图审查环节，联合审图率达100%。</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重点任务完成率（%）</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工作任务完成时间节点</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资金使用进度</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按实际工作开展进度</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支出控制率（实际财政支出/计划财政支出）</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预期目标任务范围内，≤100%</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项目效益</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经济效益</w:t>
            </w:r>
            <w:r>
              <w:rPr>
                <w:rFonts w:hint="eastAsia" w:ascii="宋体" w:hAnsi="宋体" w:cs="宋体"/>
                <w:kern w:val="0"/>
                <w:sz w:val="24"/>
              </w:rPr>
              <w:br w:type="textWrapping"/>
            </w:r>
            <w:r>
              <w:rPr>
                <w:rFonts w:hint="eastAsia" w:ascii="宋体" w:hAnsi="宋体" w:cs="宋体"/>
                <w:kern w:val="0"/>
                <w:sz w:val="24"/>
              </w:rPr>
              <w:t>指标</w:t>
            </w: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指标1：优化办事流程实现“最多跑一次”改革，提升优化营商环境能力</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指标1：设立“办不成事”窗口</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指标2：实现“川渝通办”</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指标3：提供上门帮办代办服务</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生态效益</w:t>
            </w:r>
            <w:r>
              <w:rPr>
                <w:rFonts w:hint="eastAsia" w:ascii="宋体" w:hAnsi="宋体" w:cs="宋体"/>
                <w:kern w:val="0"/>
                <w:sz w:val="24"/>
              </w:rPr>
              <w:br w:type="textWrapping"/>
            </w:r>
            <w:r>
              <w:rPr>
                <w:rFonts w:hint="eastAsia" w:ascii="宋体" w:hAnsi="宋体" w:cs="宋体"/>
                <w:kern w:val="0"/>
                <w:sz w:val="24"/>
              </w:rPr>
              <w:t>指标</w:t>
            </w: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指标1：改善群众办事环境</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有所改善</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有所改善</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可持续影响</w:t>
            </w:r>
            <w:r>
              <w:rPr>
                <w:rFonts w:hint="eastAsia" w:ascii="宋体" w:hAnsi="宋体" w:cs="宋体"/>
                <w:kern w:val="0"/>
                <w:sz w:val="24"/>
              </w:rPr>
              <w:br w:type="textWrapping"/>
            </w:r>
            <w:r>
              <w:rPr>
                <w:rFonts w:hint="eastAsia" w:ascii="宋体" w:hAnsi="宋体" w:cs="宋体"/>
                <w:kern w:val="0"/>
                <w:sz w:val="24"/>
              </w:rPr>
              <w:t>指标</w:t>
            </w: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指标1：持续优化创新创业发展环境</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指标2：持续压降企业生产经营成本</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指标3：持续深化商事制度改革</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指标4：持续推进简政放权</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年度内完成</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已完成</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5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服务对象满意度（%）</w:t>
            </w:r>
          </w:p>
        </w:tc>
        <w:tc>
          <w:tcPr>
            <w:tcW w:w="21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80%</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80%以上</w:t>
            </w:r>
          </w:p>
        </w:tc>
        <w:tc>
          <w:tcPr>
            <w:tcW w:w="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bl>
    <w:p>
      <w:pPr>
        <w:pStyle w:val="2"/>
        <w:spacing w:before="93"/>
        <w:rPr>
          <w:rFonts w:hAnsi="宋体" w:cs="宋体"/>
          <w:sz w:val="32"/>
          <w:szCs w:val="32"/>
          <w:shd w:val="clear" w:color="auto" w:fill="FFFFFF"/>
          <w:lang w:val="zh-CN"/>
        </w:rPr>
      </w:pPr>
    </w:p>
    <w:p>
      <w:pPr>
        <w:pStyle w:val="2"/>
        <w:spacing w:before="93"/>
        <w:rPr>
          <w:lang w:val="zh-CN"/>
        </w:rPr>
      </w:pPr>
      <w:r>
        <w:rPr>
          <w:rFonts w:hint="eastAsia" w:hAnsi="宋体" w:cs="宋体"/>
          <w:sz w:val="32"/>
          <w:szCs w:val="32"/>
          <w:shd w:val="clear" w:color="auto" w:fill="FFFFFF"/>
          <w:lang w:val="zh-CN"/>
        </w:rPr>
        <w:t>附件2</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2021年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p>
    <w:p>
      <w:pPr>
        <w:widowControl/>
        <w:spacing w:line="60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一、项目概况</w:t>
      </w:r>
    </w:p>
    <w:p>
      <w:pPr>
        <w:widowControl/>
        <w:spacing w:line="600" w:lineRule="atLeast"/>
        <w:ind w:firstLine="640"/>
        <w:jc w:val="left"/>
        <w:rPr>
          <w:rFonts w:ascii="微软雅黑" w:hAnsi="微软雅黑" w:eastAsia="微软雅黑" w:cs="宋体"/>
          <w:b/>
          <w:bCs/>
          <w:color w:val="333333"/>
          <w:kern w:val="0"/>
          <w:sz w:val="32"/>
          <w:szCs w:val="32"/>
        </w:rPr>
      </w:pPr>
      <w:r>
        <w:rPr>
          <w:rFonts w:hint="eastAsia" w:ascii="楷体_GB2312" w:hAnsi="微软雅黑" w:eastAsia="楷体_GB2312" w:cs="宋体"/>
          <w:b/>
          <w:bCs/>
          <w:color w:val="333333"/>
          <w:kern w:val="0"/>
          <w:sz w:val="32"/>
          <w:szCs w:val="32"/>
        </w:rPr>
        <w:t>（一）项目基本情况。</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1</w:t>
      </w:r>
      <w:r>
        <w:rPr>
          <w:rFonts w:hint="eastAsia" w:ascii="仿宋_GB2312" w:hAnsi="微软雅黑" w:eastAsia="仿宋_GB2312" w:cs="宋体"/>
          <w:color w:val="333333"/>
          <w:kern w:val="0"/>
          <w:sz w:val="32"/>
          <w:szCs w:val="32"/>
        </w:rPr>
        <w:t>．说明项目主管部门（单位）在该项目管理中的职能。</w:t>
      </w:r>
    </w:p>
    <w:p>
      <w:pPr>
        <w:widowControl/>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是根据《中华人民共和国政府采购法》和市委编办下达的职能职责，攀枝花市政府采购中心挂牌在攀枝花市公共资源交易服务中心，承担代理市本级政府集中采购项目的职能职责，产生的政府采购专家评审费将由攀枝花市公共资源交易服务中心支付。二是我单位承担了市本级、东区、仁和区和西区的土地招拍挂工作，按照土地招拍挂出让价款收取相应的手续费，并缴纳增值税及附加费。</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2</w:t>
      </w:r>
      <w:r>
        <w:rPr>
          <w:rFonts w:hint="eastAsia" w:ascii="仿宋_GB2312" w:hAnsi="微软雅黑" w:eastAsia="仿宋_GB2312" w:cs="宋体"/>
          <w:color w:val="333333"/>
          <w:kern w:val="0"/>
          <w:sz w:val="32"/>
          <w:szCs w:val="32"/>
        </w:rPr>
        <w:t>．项目立项、资金申报的依据。</w:t>
      </w:r>
    </w:p>
    <w:p>
      <w:pPr>
        <w:widowControl/>
        <w:spacing w:line="52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是按照每年市本级财政部门委托的政府集中采购项目支付政府采购专家评审费。根据攀枝花市财政局关于转发四川省财政厅《关于政府采购评审专家劳务费报酬支付标准指导意见的通知》（攀财采〔2014〕6号）费用产生的标准：第一个小时200元，以后每增加一个小时增加100元。二是根据《攀枝花市物价局 攀枝花市国土资源局关于重新制定地（矿）产交易服务收费的通知》（攀价费〔2007〕22号）文件要求，按照收取土地出让手续费，并缴纳增值税及附加费。</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3</w:t>
      </w:r>
      <w:r>
        <w:rPr>
          <w:rFonts w:hint="eastAsia" w:ascii="仿宋_GB2312" w:hAnsi="微软雅黑" w:eastAsia="仿宋_GB2312" w:cs="宋体"/>
          <w:color w:val="333333"/>
          <w:kern w:val="0"/>
          <w:sz w:val="32"/>
          <w:szCs w:val="32"/>
        </w:rPr>
        <w:t>．资金管理办法制定情况，资金支持具体项目的条件、范围与支持方式概况。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资金管理按照我单位项目资金管理办法进行管理，严格规划编制进度完成情况支付资金。</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4</w:t>
      </w:r>
      <w:r>
        <w:rPr>
          <w:rFonts w:hint="eastAsia" w:ascii="仿宋_GB2312" w:hAnsi="微软雅黑" w:eastAsia="仿宋_GB2312" w:cs="宋体"/>
          <w:color w:val="333333"/>
          <w:kern w:val="0"/>
          <w:sz w:val="32"/>
          <w:szCs w:val="32"/>
        </w:rPr>
        <w:t>．资金分配的原则及考虑因素。</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该项目按照支出金额和支付对象直接拨付，不存在资金分配。</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（二）项目绩效目标。</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1</w:t>
      </w:r>
      <w:r>
        <w:rPr>
          <w:rFonts w:hint="eastAsia" w:ascii="仿宋_GB2312" w:hAnsi="微软雅黑" w:eastAsia="仿宋_GB2312" w:cs="宋体"/>
          <w:color w:val="333333"/>
          <w:kern w:val="0"/>
          <w:sz w:val="32"/>
          <w:szCs w:val="32"/>
        </w:rPr>
        <w:t>．项目主要内容。</w:t>
      </w:r>
    </w:p>
    <w:p>
      <w:pPr>
        <w:widowControl/>
        <w:spacing w:line="520"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是通过土地出让文件的制作和广告宣传费支出项目的投入,提高土地竞争力和竞买力，全面完成市级财政部门下达的征收目标，筹集更多的土地出让手续费，增加财政资金。二是按照每年完成的政府集中采购项目测算，2021年完成222个政府采购项目，其中还包括由市政府采购中心代理的政府采购专家需求论证，专家需求论证的费用与专家评审费用一致。</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2</w:t>
      </w:r>
      <w:r>
        <w:rPr>
          <w:rFonts w:hint="eastAsia" w:ascii="仿宋_GB2312" w:hAnsi="微软雅黑" w:eastAsia="仿宋_GB2312" w:cs="宋体"/>
          <w:color w:val="333333"/>
          <w:kern w:val="0"/>
          <w:sz w:val="32"/>
          <w:szCs w:val="32"/>
        </w:rPr>
        <w:t>．项目应实现的具体绩效目标，包括目标的量化、细化情况以及项目实施进度计划等。</w:t>
      </w:r>
    </w:p>
    <w:p>
      <w:pPr>
        <w:widowControl/>
        <w:spacing w:line="600" w:lineRule="atLeast"/>
        <w:ind w:firstLine="643"/>
        <w:jc w:val="left"/>
        <w:rPr>
          <w:rFonts w:ascii="微软雅黑" w:hAnsi="微软雅黑" w:eastAsia="微软雅黑" w:cs="宋体"/>
          <w:color w:val="333333"/>
          <w:kern w:val="0"/>
          <w:sz w:val="23"/>
          <w:szCs w:val="23"/>
        </w:rPr>
      </w:pPr>
      <w:r>
        <w:rPr>
          <w:rFonts w:hint="eastAsia" w:ascii="仿宋_GB2312" w:hAnsi="微软雅黑" w:eastAsia="仿宋_GB2312" w:cs="宋体"/>
          <w:b/>
          <w:bCs/>
          <w:color w:val="333333"/>
          <w:kern w:val="0"/>
          <w:sz w:val="32"/>
        </w:rPr>
        <w:t>积极做好土地出让文件和宣传制作</w:t>
      </w:r>
      <w:r>
        <w:rPr>
          <w:rFonts w:hint="eastAsia" w:ascii="仿宋_GB2312" w:hAnsi="微软雅黑" w:eastAsia="仿宋_GB2312" w:cs="宋体"/>
          <w:color w:val="333333"/>
          <w:kern w:val="0"/>
          <w:sz w:val="32"/>
          <w:szCs w:val="32"/>
        </w:rPr>
        <w:t>。按照自然资源和规划局有关要求，采取无人机拍摄土地现场情况，提高宣传视频的清晰度和质量，以加强土地的宣传力度和拍卖现场的竞争。通过高质量的宣传，提高攀枝花在全国范围内的知名度，扩大土地市场的市场竞争力，增加财政收入，2021年上缴土地交易手续费3051.30万元。</w:t>
      </w:r>
      <w:r>
        <w:rPr>
          <w:rFonts w:hint="eastAsia" w:ascii="仿宋_GB2312" w:hAnsi="微软雅黑" w:eastAsia="仿宋_GB2312" w:cs="宋体"/>
          <w:b/>
          <w:bCs/>
          <w:color w:val="333333"/>
          <w:kern w:val="0"/>
          <w:sz w:val="32"/>
        </w:rPr>
        <w:t>缴纳增值税和附加费。</w:t>
      </w:r>
      <w:r>
        <w:rPr>
          <w:rFonts w:hint="eastAsia" w:ascii="仿宋_GB2312" w:hAnsi="微软雅黑" w:eastAsia="仿宋_GB2312" w:cs="宋体"/>
          <w:color w:val="333333"/>
          <w:kern w:val="0"/>
          <w:sz w:val="32"/>
          <w:szCs w:val="32"/>
        </w:rPr>
        <w:t>按照《攀枝花市物价局 攀枝花市国土资源局关于重新制定地（矿）产交易服务收费的通知》（攀价费〔2007〕22号）要求，根据土地交易成交金额收取的交易服务费，向税务部门缴纳的增值税和附加税。2021年缴纳增值税及附加费65.58万元。</w:t>
      </w:r>
      <w:r>
        <w:rPr>
          <w:rFonts w:hint="eastAsia" w:ascii="仿宋_GB2312" w:hAnsi="微软雅黑" w:eastAsia="仿宋_GB2312" w:cs="宋体"/>
          <w:b/>
          <w:bCs/>
          <w:color w:val="333333"/>
          <w:kern w:val="0"/>
          <w:sz w:val="32"/>
        </w:rPr>
        <w:t>提高政府集中采购水平。</w:t>
      </w:r>
      <w:r>
        <w:rPr>
          <w:rFonts w:hint="eastAsia" w:ascii="仿宋_GB2312" w:hAnsi="微软雅黑" w:eastAsia="仿宋_GB2312" w:cs="宋体"/>
          <w:color w:val="333333"/>
          <w:kern w:val="0"/>
          <w:sz w:val="32"/>
          <w:szCs w:val="32"/>
        </w:rPr>
        <w:t>根据我市政府集中采购工作实际情况，按照现行法律法规，细化政府采购工作流程、技术标准和操作程序。加强与采购方的联系沟通和市场调查，提高采购文件的准确性、高效性和规范性，提升标书编制水平，降低各单位政府采购项目流标、废标的可能性，节约专家评审费和各采购人、投标人的成本，按照川财采〔2014〕8号文件精神支付专家评审费共计10.46万元。</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3</w:t>
      </w:r>
      <w:r>
        <w:rPr>
          <w:rFonts w:hint="eastAsia" w:ascii="仿宋_GB2312" w:hAnsi="微软雅黑" w:eastAsia="仿宋_GB2312" w:cs="宋体"/>
          <w:color w:val="333333"/>
          <w:kern w:val="0"/>
          <w:sz w:val="32"/>
          <w:szCs w:val="32"/>
        </w:rPr>
        <w:t>．分析评价申报内容是否与实际相符，申报目标是否合理可行。</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分析评价申报内容是与实际相符，申报目标合理可行。</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二、项目资金申报及使用情况</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（一）项目资金申报及批复情况。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业务运行经费：年初预算</w:t>
      </w:r>
      <w:r>
        <w:rPr>
          <w:rFonts w:eastAsia="微软雅黑"/>
          <w:color w:val="333333"/>
          <w:kern w:val="0"/>
          <w:sz w:val="32"/>
          <w:szCs w:val="32"/>
        </w:rPr>
        <w:t>80</w:t>
      </w:r>
      <w:r>
        <w:rPr>
          <w:rFonts w:hint="eastAsia" w:ascii="仿宋_GB2312" w:hAnsi="微软雅黑" w:eastAsia="仿宋_GB2312" w:cs="宋体"/>
          <w:color w:val="333333"/>
          <w:kern w:val="0"/>
          <w:sz w:val="32"/>
          <w:szCs w:val="32"/>
        </w:rPr>
        <w:t>万元，</w:t>
      </w:r>
      <w:r>
        <w:rPr>
          <w:rFonts w:eastAsia="微软雅黑"/>
          <w:color w:val="333333"/>
          <w:kern w:val="0"/>
          <w:sz w:val="32"/>
          <w:szCs w:val="32"/>
        </w:rPr>
        <w:t>3</w:t>
      </w:r>
      <w:r>
        <w:rPr>
          <w:rFonts w:hint="eastAsia" w:ascii="仿宋_GB2312" w:hAnsi="微软雅黑" w:eastAsia="仿宋_GB2312" w:cs="宋体"/>
          <w:color w:val="333333"/>
          <w:kern w:val="0"/>
          <w:sz w:val="32"/>
          <w:szCs w:val="32"/>
        </w:rPr>
        <w:t>月份预拨付</w:t>
      </w:r>
      <w:r>
        <w:rPr>
          <w:rFonts w:eastAsia="微软雅黑"/>
          <w:color w:val="333333"/>
          <w:kern w:val="0"/>
          <w:sz w:val="32"/>
          <w:szCs w:val="32"/>
        </w:rPr>
        <w:t>45</w:t>
      </w:r>
      <w:r>
        <w:rPr>
          <w:rFonts w:hint="eastAsia" w:ascii="仿宋_GB2312" w:hAnsi="微软雅黑" w:eastAsia="仿宋_GB2312" w:cs="宋体"/>
          <w:color w:val="333333"/>
          <w:kern w:val="0"/>
          <w:sz w:val="32"/>
          <w:szCs w:val="32"/>
        </w:rPr>
        <w:t>万元，</w:t>
      </w:r>
      <w:r>
        <w:rPr>
          <w:rFonts w:eastAsia="微软雅黑"/>
          <w:color w:val="333333"/>
          <w:kern w:val="0"/>
          <w:sz w:val="32"/>
          <w:szCs w:val="32"/>
        </w:rPr>
        <w:t>8</w:t>
      </w:r>
      <w:r>
        <w:rPr>
          <w:rFonts w:hint="eastAsia" w:ascii="仿宋_GB2312" w:hAnsi="微软雅黑" w:eastAsia="仿宋_GB2312" w:cs="宋体"/>
          <w:color w:val="333333"/>
          <w:kern w:val="0"/>
          <w:sz w:val="32"/>
          <w:szCs w:val="32"/>
        </w:rPr>
        <w:t>月份拨付剩余</w:t>
      </w:r>
      <w:r>
        <w:rPr>
          <w:rFonts w:eastAsia="微软雅黑"/>
          <w:color w:val="333333"/>
          <w:kern w:val="0"/>
          <w:sz w:val="32"/>
          <w:szCs w:val="32"/>
        </w:rPr>
        <w:t>35</w:t>
      </w:r>
      <w:r>
        <w:rPr>
          <w:rFonts w:hint="eastAsia" w:ascii="仿宋_GB2312" w:hAnsi="微软雅黑" w:eastAsia="仿宋_GB2312" w:cs="宋体"/>
          <w:color w:val="333333"/>
          <w:kern w:val="0"/>
          <w:sz w:val="32"/>
          <w:szCs w:val="32"/>
        </w:rPr>
        <w:t>万元。</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非税征收成本：由主管部门向市政府提请资金申报请示，经财政部门调研确定资金金额，</w:t>
      </w:r>
      <w:r>
        <w:rPr>
          <w:rFonts w:eastAsia="微软雅黑"/>
          <w:color w:val="333333"/>
          <w:kern w:val="0"/>
          <w:sz w:val="32"/>
          <w:szCs w:val="32"/>
        </w:rPr>
        <w:t>2021</w:t>
      </w:r>
      <w:r>
        <w:rPr>
          <w:rFonts w:hint="eastAsia" w:ascii="仿宋_GB2312" w:hAnsi="微软雅黑" w:eastAsia="仿宋_GB2312" w:cs="宋体"/>
          <w:color w:val="333333"/>
          <w:kern w:val="0"/>
          <w:sz w:val="32"/>
          <w:szCs w:val="32"/>
        </w:rPr>
        <w:t>年</w:t>
      </w:r>
      <w:r>
        <w:rPr>
          <w:rFonts w:eastAsia="微软雅黑"/>
          <w:color w:val="333333"/>
          <w:kern w:val="0"/>
          <w:sz w:val="32"/>
          <w:szCs w:val="32"/>
        </w:rPr>
        <w:t>10</w:t>
      </w:r>
      <w:r>
        <w:rPr>
          <w:rFonts w:hint="eastAsia" w:ascii="仿宋_GB2312" w:hAnsi="微软雅黑" w:eastAsia="仿宋_GB2312" w:cs="宋体"/>
          <w:color w:val="333333"/>
          <w:kern w:val="0"/>
          <w:sz w:val="32"/>
          <w:szCs w:val="32"/>
        </w:rPr>
        <w:t>月资金下达</w:t>
      </w:r>
      <w:r>
        <w:rPr>
          <w:rFonts w:eastAsia="微软雅黑"/>
          <w:color w:val="333333"/>
          <w:kern w:val="0"/>
          <w:sz w:val="32"/>
          <w:szCs w:val="32"/>
        </w:rPr>
        <w:t>160</w:t>
      </w:r>
      <w:r>
        <w:rPr>
          <w:rFonts w:hint="eastAsia" w:ascii="仿宋_GB2312" w:hAnsi="微软雅黑" w:eastAsia="仿宋_GB2312" w:cs="宋体"/>
          <w:color w:val="333333"/>
          <w:kern w:val="0"/>
          <w:sz w:val="32"/>
          <w:szCs w:val="32"/>
        </w:rPr>
        <w:t>万元。</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（二）资金计划、到位及使用情况。</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1</w:t>
      </w:r>
      <w:r>
        <w:rPr>
          <w:rFonts w:hint="eastAsia" w:ascii="楷体_GB2312" w:hAnsi="微软雅黑" w:eastAsia="楷体_GB2312" w:cs="宋体"/>
          <w:color w:val="333333"/>
          <w:kern w:val="0"/>
          <w:sz w:val="32"/>
          <w:szCs w:val="32"/>
        </w:rPr>
        <w:t>．资金计划。</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该项目资金全部由市本级财政资金保障。</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2</w:t>
      </w:r>
      <w:r>
        <w:rPr>
          <w:rFonts w:hint="eastAsia" w:ascii="楷体_GB2312" w:hAnsi="微软雅黑" w:eastAsia="楷体_GB2312" w:cs="宋体"/>
          <w:color w:val="333333"/>
          <w:kern w:val="0"/>
          <w:sz w:val="32"/>
          <w:szCs w:val="32"/>
        </w:rPr>
        <w:t>．资金到位。</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项目资金于</w:t>
      </w:r>
      <w:r>
        <w:rPr>
          <w:rFonts w:eastAsia="微软雅黑"/>
          <w:color w:val="333333"/>
          <w:kern w:val="0"/>
          <w:sz w:val="32"/>
          <w:szCs w:val="32"/>
        </w:rPr>
        <w:t>2021</w:t>
      </w:r>
      <w:r>
        <w:rPr>
          <w:rFonts w:hint="eastAsia" w:ascii="仿宋_GB2312" w:hAnsi="微软雅黑" w:eastAsia="仿宋_GB2312" w:cs="宋体"/>
          <w:color w:val="333333"/>
          <w:kern w:val="0"/>
          <w:sz w:val="32"/>
          <w:szCs w:val="32"/>
        </w:rPr>
        <w:t>年全部拨付到位。</w:t>
      </w:r>
    </w:p>
    <w:p>
      <w:pPr>
        <w:widowControl/>
        <w:spacing w:line="600" w:lineRule="atLeast"/>
        <w:ind w:firstLine="640"/>
        <w:jc w:val="left"/>
        <w:rPr>
          <w:rFonts w:ascii="微软雅黑" w:hAnsi="微软雅黑" w:eastAsia="微软雅黑" w:cs="宋体"/>
          <w:color w:val="333333"/>
          <w:kern w:val="0"/>
          <w:sz w:val="23"/>
          <w:szCs w:val="23"/>
        </w:rPr>
      </w:pPr>
      <w:r>
        <w:rPr>
          <w:rFonts w:eastAsia="微软雅黑"/>
          <w:color w:val="333333"/>
          <w:kern w:val="0"/>
          <w:sz w:val="32"/>
          <w:szCs w:val="32"/>
        </w:rPr>
        <w:t>3</w:t>
      </w:r>
      <w:r>
        <w:rPr>
          <w:rFonts w:hint="eastAsia" w:ascii="楷体_GB2312" w:hAnsi="微软雅黑" w:eastAsia="楷体_GB2312" w:cs="宋体"/>
          <w:color w:val="333333"/>
          <w:kern w:val="0"/>
          <w:sz w:val="32"/>
          <w:szCs w:val="32"/>
        </w:rPr>
        <w:t>．资金使用。</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该项目按照支出金额和支付对象直接拨付，不存在资金分配。</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资金使用的安全性、规范性及有效性，资金支付范围、支付标准、支付进度、支付依据等合规合法、与预算相符。</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（三）项目财务管理情况。</w:t>
      </w:r>
    </w:p>
    <w:p>
      <w:pPr>
        <w:widowControl/>
        <w:spacing w:line="600" w:lineRule="atLeast"/>
        <w:ind w:firstLine="640" w:firstLineChars="20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清单等相关材料，手续是完善的，不存在虚假会计凭证的情况，会计严格执行财务管理制度，财务处理及时，核算规范。</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三、项目实施及管理情况</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（一）项目组织架构及实施流程。</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由业务分管领导付总责，相关业务科室具体执行，综合科室负责资金的审核、支付和核算。相关业务科室整理原始票据、合同、清单，提交支付申请，分管领导同意后，填写报账单，综合科室审核相关资料合格后，由财务领导签字支付。</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（二）项目管理情况。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增值税及附加费按月如实缴纳；政府采购专家评审费项目结束后，及时支付专家评审费；土地招拍挂文件和视频制作，通过政府采购形式委托专业广告公司印刷和制作。</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（三）项目监管情况。</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按照相关文件要求和合同约定，对项目进行监管。</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四、项目绩效情况</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（一）项目完成情况。</w:t>
      </w:r>
    </w:p>
    <w:p>
      <w:pPr>
        <w:widowControl/>
        <w:spacing w:line="52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数量指标：一是2021年上缴土地交易手续费3051.30万元。二是缴纳增值税和附加费，2021年缴纳增值税及附加费65.58万元。三是按照川财采〔2014〕8号文件精神支付专家评审费共计10.46万元。</w:t>
      </w:r>
    </w:p>
    <w:p>
      <w:pPr>
        <w:widowControl/>
        <w:spacing w:line="52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质量指标：提高土地出让宣传力度，增强土地竞买力；提高政府集中采购水平，节约专家评审费和各采购人、投标人的成本。</w:t>
      </w:r>
    </w:p>
    <w:p>
      <w:pPr>
        <w:widowControl/>
        <w:spacing w:line="520" w:lineRule="atLeast"/>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时效指标：2021年全年预算执行率100%。</w:t>
      </w:r>
      <w:r>
        <w:rPr>
          <w:rFonts w:hint="eastAsia" w:ascii="楷体_GB2312" w:hAnsi="微软雅黑" w:eastAsia="楷体_GB2312" w:cs="宋体"/>
          <w:color w:val="333333"/>
          <w:kern w:val="0"/>
          <w:sz w:val="32"/>
          <w:szCs w:val="32"/>
        </w:rPr>
        <w:t>（二）项目效益情况。</w:t>
      </w:r>
    </w:p>
    <w:p>
      <w:pPr>
        <w:widowControl/>
        <w:spacing w:line="52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经济效益指标：增加财政收入；政府采购项目节约率</w:t>
      </w:r>
      <w:r>
        <w:rPr>
          <w:rFonts w:hint="eastAsia" w:ascii="宋体" w:hAnsi="宋体" w:cs="宋体"/>
          <w:color w:val="333333"/>
          <w:kern w:val="0"/>
          <w:sz w:val="32"/>
          <w:szCs w:val="32"/>
        </w:rPr>
        <w:t>≧</w:t>
      </w:r>
      <w:r>
        <w:rPr>
          <w:rFonts w:hint="eastAsia" w:ascii="仿宋_GB2312" w:hAnsi="微软雅黑" w:eastAsia="仿宋_GB2312" w:cs="宋体"/>
          <w:color w:val="333333"/>
          <w:kern w:val="0"/>
          <w:sz w:val="32"/>
          <w:szCs w:val="32"/>
        </w:rPr>
        <w:t>2（不含网上竞价）。</w:t>
      </w:r>
    </w:p>
    <w:p>
      <w:pPr>
        <w:widowControl/>
        <w:spacing w:line="52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社会效益指标：建设高效、规范、廉洁的交易平台。</w:t>
      </w:r>
    </w:p>
    <w:p>
      <w:pPr>
        <w:widowControl/>
        <w:spacing w:line="52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服务对象满意度指标：认可度达到100%。</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黑体" w:hAnsi="黑体" w:eastAsia="黑体" w:cs="宋体"/>
          <w:color w:val="333333"/>
          <w:kern w:val="0"/>
          <w:sz w:val="32"/>
          <w:szCs w:val="32"/>
        </w:rPr>
        <w:t>五、评价结论及建议</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（一）评价结论。</w:t>
      </w:r>
    </w:p>
    <w:p>
      <w:pPr>
        <w:widowControl/>
        <w:spacing w:line="560" w:lineRule="atLeast"/>
        <w:ind w:firstLine="646"/>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该项目的资金投入，是优化“营商环境”，为进场交易各方提供高质量、高效率的服务，努力创建全省首批“示范交易中心”，打造全省一流的公共资源交易平台，项目可持续长期运用。</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（二）存在的问题。</w:t>
      </w:r>
    </w:p>
    <w:p>
      <w:pPr>
        <w:widowControl/>
        <w:spacing w:line="600" w:lineRule="atLeast"/>
        <w:ind w:firstLine="640"/>
        <w:jc w:val="left"/>
        <w:rPr>
          <w:rFonts w:ascii="微软雅黑" w:hAnsi="微软雅黑" w:eastAsia="微软雅黑" w:cs="宋体"/>
          <w:color w:val="333333"/>
          <w:kern w:val="0"/>
          <w:sz w:val="23"/>
          <w:szCs w:val="23"/>
        </w:rPr>
      </w:pPr>
      <w:r>
        <w:rPr>
          <w:rFonts w:hint="eastAsia" w:ascii="仿宋_GB2312" w:hAnsi="微软雅黑" w:eastAsia="仿宋_GB2312" w:cs="宋体"/>
          <w:color w:val="333333"/>
          <w:kern w:val="0"/>
          <w:sz w:val="32"/>
          <w:szCs w:val="32"/>
        </w:rPr>
        <w:t>无</w:t>
      </w:r>
    </w:p>
    <w:p>
      <w:pPr>
        <w:widowControl/>
        <w:spacing w:line="600" w:lineRule="atLeast"/>
        <w:ind w:firstLine="640"/>
        <w:jc w:val="left"/>
        <w:rPr>
          <w:rFonts w:hint="eastAsia" w:ascii="楷体_GB2312" w:hAnsi="微软雅黑" w:eastAsia="楷体_GB2312" w:cs="宋体"/>
          <w:b/>
          <w:bCs/>
          <w:color w:val="333333"/>
          <w:kern w:val="0"/>
          <w:sz w:val="32"/>
          <w:szCs w:val="32"/>
        </w:rPr>
      </w:pPr>
      <w:r>
        <w:rPr>
          <w:rFonts w:hint="eastAsia" w:ascii="楷体_GB2312" w:hAnsi="微软雅黑" w:eastAsia="楷体_GB2312" w:cs="宋体"/>
          <w:b/>
          <w:bCs/>
          <w:color w:val="333333"/>
          <w:kern w:val="0"/>
          <w:sz w:val="32"/>
          <w:szCs w:val="32"/>
        </w:rPr>
        <w:t>（三）相关建议。</w:t>
      </w:r>
    </w:p>
    <w:p>
      <w:pPr>
        <w:widowControl/>
        <w:spacing w:line="600" w:lineRule="atLeas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无</w:t>
      </w:r>
    </w:p>
    <w:p>
      <w:pPr>
        <w:pStyle w:val="2"/>
        <w:spacing w:before="93"/>
      </w:pPr>
    </w:p>
    <w:p>
      <w:pPr>
        <w:pStyle w:val="2"/>
        <w:spacing w:before="93"/>
      </w:pPr>
    </w:p>
    <w:p>
      <w:pPr>
        <w:pStyle w:val="2"/>
        <w:spacing w:before="93"/>
      </w:pPr>
    </w:p>
    <w:p>
      <w:pPr>
        <w:pStyle w:val="2"/>
        <w:spacing w:before="93"/>
      </w:pPr>
    </w:p>
    <w:p>
      <w:pPr>
        <w:pStyle w:val="2"/>
        <w:spacing w:before="93"/>
      </w:pPr>
    </w:p>
    <w:tbl>
      <w:tblPr>
        <w:tblStyle w:val="13"/>
        <w:tblpPr w:leftFromText="180" w:rightFromText="180" w:horzAnchor="margin" w:tblpXSpec="center" w:tblpY="-1440"/>
        <w:tblW w:w="10400" w:type="dxa"/>
        <w:tblInd w:w="0" w:type="dxa"/>
        <w:tblLayout w:type="autofit"/>
        <w:tblCellMar>
          <w:top w:w="0" w:type="dxa"/>
          <w:left w:w="108" w:type="dxa"/>
          <w:bottom w:w="0" w:type="dxa"/>
          <w:right w:w="108" w:type="dxa"/>
        </w:tblCellMar>
      </w:tblPr>
      <w:tblGrid>
        <w:gridCol w:w="740"/>
        <w:gridCol w:w="740"/>
        <w:gridCol w:w="840"/>
        <w:gridCol w:w="1540"/>
        <w:gridCol w:w="2080"/>
        <w:gridCol w:w="1980"/>
        <w:gridCol w:w="1180"/>
        <w:gridCol w:w="1300"/>
      </w:tblGrid>
      <w:tr>
        <w:tblPrEx>
          <w:tblCellMar>
            <w:top w:w="0" w:type="dxa"/>
            <w:left w:w="108" w:type="dxa"/>
            <w:bottom w:w="0" w:type="dxa"/>
            <w:right w:w="108" w:type="dxa"/>
          </w:tblCellMar>
        </w:tblPrEx>
        <w:trPr>
          <w:trHeight w:val="675" w:hRule="atLeast"/>
        </w:trPr>
        <w:tc>
          <w:tcPr>
            <w:tcW w:w="10400" w:type="dxa"/>
            <w:gridSpan w:val="8"/>
            <w:tcBorders>
              <w:top w:val="nil"/>
              <w:left w:val="nil"/>
              <w:bottom w:val="nil"/>
              <w:right w:val="nil"/>
            </w:tcBorders>
            <w:shd w:val="clear" w:color="auto" w:fill="auto"/>
            <w:vAlign w:val="center"/>
          </w:tcPr>
          <w:p>
            <w:pPr>
              <w:pStyle w:val="2"/>
              <w:spacing w:before="93"/>
              <w:ind w:firstLine="3029" w:firstLineChars="943"/>
            </w:pPr>
            <w:r>
              <w:rPr>
                <w:rFonts w:hint="eastAsia" w:ascii="宋体" w:hAnsi="宋体" w:cs="宋体"/>
                <w:b/>
                <w:bCs/>
                <w:sz w:val="32"/>
                <w:szCs w:val="32"/>
              </w:rPr>
              <w:t>专项（项目）资金绩效自评表</w:t>
            </w:r>
          </w:p>
          <w:p>
            <w:pPr>
              <w:widowControl/>
              <w:jc w:val="center"/>
              <w:rPr>
                <w:rFonts w:ascii="宋体" w:hAnsi="宋体" w:cs="宋体"/>
                <w:b/>
                <w:bCs/>
                <w:kern w:val="0"/>
                <w:sz w:val="32"/>
                <w:szCs w:val="32"/>
              </w:rPr>
            </w:pPr>
          </w:p>
        </w:tc>
      </w:tr>
      <w:tr>
        <w:tblPrEx>
          <w:tblCellMar>
            <w:top w:w="0" w:type="dxa"/>
            <w:left w:w="108" w:type="dxa"/>
            <w:bottom w:w="0" w:type="dxa"/>
            <w:right w:w="108" w:type="dxa"/>
          </w:tblCellMar>
        </w:tblPrEx>
        <w:trPr>
          <w:trHeight w:val="285" w:hRule="atLeast"/>
        </w:trPr>
        <w:tc>
          <w:tcPr>
            <w:tcW w:w="10400" w:type="dxa"/>
            <w:gridSpan w:val="8"/>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35" w:hRule="atLeast"/>
        </w:trPr>
        <w:tc>
          <w:tcPr>
            <w:tcW w:w="7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w:t>
            </w:r>
          </w:p>
        </w:tc>
        <w:tc>
          <w:tcPr>
            <w:tcW w:w="7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8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54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0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9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180" w:type="dxa"/>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300" w:type="dxa"/>
            <w:tcBorders>
              <w:top w:val="nil"/>
              <w:left w:val="nil"/>
              <w:bottom w:val="nil"/>
              <w:right w:val="nil"/>
            </w:tcBorders>
            <w:shd w:val="clear" w:color="auto" w:fill="auto"/>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39" w:hRule="atLeast"/>
        </w:trPr>
        <w:tc>
          <w:tcPr>
            <w:tcW w:w="2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专项（项目）名称</w:t>
            </w:r>
          </w:p>
        </w:tc>
        <w:tc>
          <w:tcPr>
            <w:tcW w:w="80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业务运行费</w:t>
            </w:r>
          </w:p>
        </w:tc>
      </w:tr>
      <w:tr>
        <w:tblPrEx>
          <w:tblCellMar>
            <w:top w:w="0" w:type="dxa"/>
            <w:left w:w="108" w:type="dxa"/>
            <w:bottom w:w="0" w:type="dxa"/>
            <w:right w:w="108" w:type="dxa"/>
          </w:tblCellMar>
        </w:tblPrEx>
        <w:trPr>
          <w:trHeight w:val="439" w:hRule="atLeast"/>
        </w:trPr>
        <w:tc>
          <w:tcPr>
            <w:tcW w:w="2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项目主管单位</w:t>
            </w:r>
          </w:p>
        </w:tc>
        <w:tc>
          <w:tcPr>
            <w:tcW w:w="808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攀枝花市政务服务管理局</w:t>
            </w:r>
          </w:p>
        </w:tc>
      </w:tr>
      <w:tr>
        <w:tblPrEx>
          <w:tblCellMar>
            <w:top w:w="0" w:type="dxa"/>
            <w:left w:w="108" w:type="dxa"/>
            <w:bottom w:w="0" w:type="dxa"/>
            <w:right w:w="108" w:type="dxa"/>
          </w:tblCellMar>
        </w:tblPrEx>
        <w:trPr>
          <w:trHeight w:val="439" w:hRule="atLeast"/>
        </w:trPr>
        <w:tc>
          <w:tcPr>
            <w:tcW w:w="232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项目实施单位</w:t>
            </w:r>
          </w:p>
        </w:tc>
        <w:tc>
          <w:tcPr>
            <w:tcW w:w="808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攀枝花市公共资源交易服务中心</w:t>
            </w:r>
          </w:p>
        </w:tc>
      </w:tr>
      <w:tr>
        <w:tblPrEx>
          <w:tblCellMar>
            <w:top w:w="0" w:type="dxa"/>
            <w:left w:w="108" w:type="dxa"/>
            <w:bottom w:w="0" w:type="dxa"/>
            <w:right w:w="108" w:type="dxa"/>
          </w:tblCellMar>
        </w:tblPrEx>
        <w:trPr>
          <w:trHeight w:val="439" w:hRule="atLeast"/>
        </w:trPr>
        <w:tc>
          <w:tcPr>
            <w:tcW w:w="23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项目资金</w:t>
            </w:r>
            <w:r>
              <w:rPr>
                <w:rFonts w:hint="eastAsia" w:ascii="宋体" w:hAnsi="宋体" w:cs="宋体"/>
                <w:kern w:val="0"/>
                <w:sz w:val="24"/>
              </w:rPr>
              <w:br w:type="textWrapping"/>
            </w:r>
            <w:r>
              <w:rPr>
                <w:rFonts w:hint="eastAsia" w:ascii="宋体" w:hAnsi="宋体" w:cs="宋体"/>
                <w:kern w:val="0"/>
                <w:sz w:val="24"/>
              </w:rPr>
              <w:t>（万元）</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全年预算数</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24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执行率（%）</w:t>
            </w:r>
          </w:p>
        </w:tc>
      </w:tr>
      <w:tr>
        <w:tblPrEx>
          <w:tblCellMar>
            <w:top w:w="0" w:type="dxa"/>
            <w:left w:w="108" w:type="dxa"/>
            <w:bottom w:w="0" w:type="dxa"/>
            <w:right w:w="108" w:type="dxa"/>
          </w:tblCellMar>
        </w:tblPrEx>
        <w:trPr>
          <w:trHeight w:val="585" w:hRule="atLeast"/>
        </w:trPr>
        <w:tc>
          <w:tcPr>
            <w:tcW w:w="23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年度资金总额：</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71.75 </w:t>
            </w:r>
          </w:p>
        </w:tc>
        <w:tc>
          <w:tcPr>
            <w:tcW w:w="24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89.69%</w:t>
            </w:r>
          </w:p>
        </w:tc>
      </w:tr>
      <w:tr>
        <w:tblPrEx>
          <w:tblCellMar>
            <w:top w:w="0" w:type="dxa"/>
            <w:left w:w="108" w:type="dxa"/>
            <w:bottom w:w="0" w:type="dxa"/>
            <w:right w:w="108" w:type="dxa"/>
          </w:tblCellMar>
        </w:tblPrEx>
        <w:trPr>
          <w:trHeight w:val="1095" w:hRule="atLeast"/>
        </w:trPr>
        <w:tc>
          <w:tcPr>
            <w:tcW w:w="23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其中：上级财政资金</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24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70" w:hRule="atLeast"/>
        </w:trPr>
        <w:tc>
          <w:tcPr>
            <w:tcW w:w="23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本级财政资金</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80</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71.75 </w:t>
            </w:r>
          </w:p>
        </w:tc>
        <w:tc>
          <w:tcPr>
            <w:tcW w:w="24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89.69%</w:t>
            </w:r>
          </w:p>
        </w:tc>
      </w:tr>
      <w:tr>
        <w:tblPrEx>
          <w:tblCellMar>
            <w:top w:w="0" w:type="dxa"/>
            <w:left w:w="108" w:type="dxa"/>
            <w:bottom w:w="0" w:type="dxa"/>
            <w:right w:w="108" w:type="dxa"/>
          </w:tblCellMar>
        </w:tblPrEx>
        <w:trPr>
          <w:trHeight w:val="780" w:hRule="atLeast"/>
        </w:trPr>
        <w:tc>
          <w:tcPr>
            <w:tcW w:w="23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其他资金</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4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9"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总</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目</w:t>
            </w:r>
            <w:r>
              <w:rPr>
                <w:rFonts w:hint="eastAsia" w:ascii="宋体" w:hAnsi="宋体" w:cs="宋体"/>
                <w:kern w:val="0"/>
                <w:sz w:val="24"/>
              </w:rPr>
              <w:br w:type="textWrapping"/>
            </w:r>
            <w:r>
              <w:rPr>
                <w:rFonts w:hint="eastAsia" w:ascii="宋体" w:hAnsi="宋体" w:cs="宋体"/>
                <w:kern w:val="0"/>
                <w:sz w:val="24"/>
              </w:rPr>
              <w:t>标</w:t>
            </w:r>
          </w:p>
        </w:tc>
        <w:tc>
          <w:tcPr>
            <w:tcW w:w="3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年度设定目标</w:t>
            </w:r>
          </w:p>
        </w:tc>
        <w:tc>
          <w:tcPr>
            <w:tcW w:w="65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实际完成情况</w:t>
            </w:r>
          </w:p>
        </w:tc>
      </w:tr>
      <w:tr>
        <w:tblPrEx>
          <w:tblCellMar>
            <w:top w:w="0" w:type="dxa"/>
            <w:left w:w="108" w:type="dxa"/>
            <w:bottom w:w="0" w:type="dxa"/>
            <w:right w:w="108" w:type="dxa"/>
          </w:tblCellMar>
        </w:tblPrEx>
        <w:trPr>
          <w:trHeight w:val="15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3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围绕建设“资源共享、规则统一、公开透明”的公共资源交易平台的目标，推进制度建设、规则建设、平台建设、场地建设和队伍建设，建立完善全市电子化招投标平台，不断强化信息安全。</w:t>
            </w:r>
          </w:p>
        </w:tc>
        <w:tc>
          <w:tcPr>
            <w:tcW w:w="65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按照自然资源和规划局有关要求，采取无人机拍摄土地现场情况，提高宣传视频的清晰度和质量，进一步加强土地推介，以加强土地的宣传力度和拍卖现场的竞争。加强与采购人的沟通，提高政府采购文件编制水平，建立专家预审机制，提高招投标现场服务水平和服务效率。信息安全水平达到省内先进</w:t>
            </w:r>
          </w:p>
        </w:tc>
      </w:tr>
      <w:tr>
        <w:tblPrEx>
          <w:tblCellMar>
            <w:top w:w="0" w:type="dxa"/>
            <w:left w:w="108" w:type="dxa"/>
            <w:bottom w:w="0" w:type="dxa"/>
            <w:right w:w="108" w:type="dxa"/>
          </w:tblCellMar>
        </w:tblPrEx>
        <w:trPr>
          <w:trHeight w:val="570" w:hRule="atLeast"/>
        </w:trPr>
        <w:tc>
          <w:tcPr>
            <w:tcW w:w="7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绩</w:t>
            </w:r>
            <w:r>
              <w:rPr>
                <w:rFonts w:hint="eastAsia" w:ascii="宋体" w:hAnsi="宋体" w:cs="宋体"/>
                <w:kern w:val="0"/>
                <w:sz w:val="24"/>
              </w:rPr>
              <w:br w:type="textWrapping"/>
            </w:r>
            <w:r>
              <w:rPr>
                <w:rFonts w:hint="eastAsia" w:ascii="宋体" w:hAnsi="宋体" w:cs="宋体"/>
                <w:kern w:val="0"/>
                <w:sz w:val="24"/>
              </w:rPr>
              <w:t>效</w:t>
            </w:r>
            <w:r>
              <w:rPr>
                <w:rFonts w:hint="eastAsia" w:ascii="宋体" w:hAnsi="宋体" w:cs="宋体"/>
                <w:kern w:val="0"/>
                <w:sz w:val="24"/>
              </w:rPr>
              <w:br w:type="textWrapping"/>
            </w:r>
            <w:r>
              <w:rPr>
                <w:rFonts w:hint="eastAsia" w:ascii="宋体" w:hAnsi="宋体" w:cs="宋体"/>
                <w:kern w:val="0"/>
                <w:sz w:val="24"/>
              </w:rPr>
              <w:t>指</w:t>
            </w:r>
            <w:r>
              <w:rPr>
                <w:rFonts w:hint="eastAsia" w:ascii="宋体" w:hAnsi="宋体" w:cs="宋体"/>
                <w:kern w:val="0"/>
                <w:sz w:val="24"/>
              </w:rPr>
              <w:br w:type="textWrapping"/>
            </w:r>
            <w:r>
              <w:rPr>
                <w:rFonts w:hint="eastAsia" w:ascii="宋体" w:hAnsi="宋体" w:cs="宋体"/>
                <w:kern w:val="0"/>
                <w:sz w:val="24"/>
              </w:rPr>
              <w:t>标</w:t>
            </w:r>
          </w:p>
        </w:tc>
        <w:tc>
          <w:tcPr>
            <w:tcW w:w="7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w:t>
            </w:r>
            <w:r>
              <w:rPr>
                <w:rFonts w:hint="eastAsia" w:ascii="宋体" w:hAnsi="宋体" w:cs="宋体"/>
                <w:kern w:val="0"/>
                <w:sz w:val="24"/>
              </w:rPr>
              <w:br w:type="textWrapping"/>
            </w:r>
            <w:r>
              <w:rPr>
                <w:rFonts w:hint="eastAsia" w:ascii="宋体" w:hAnsi="宋体" w:cs="宋体"/>
                <w:kern w:val="0"/>
                <w:sz w:val="24"/>
              </w:rPr>
              <w:t>指标</w:t>
            </w:r>
          </w:p>
        </w:tc>
        <w:tc>
          <w:tcPr>
            <w:tcW w:w="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年度指标值</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实际完成数</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完成率（%）</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未完成原因和改进措施</w:t>
            </w:r>
          </w:p>
        </w:tc>
      </w:tr>
      <w:tr>
        <w:tblPrEx>
          <w:tblCellMar>
            <w:top w:w="0" w:type="dxa"/>
            <w:left w:w="108" w:type="dxa"/>
            <w:bottom w:w="0" w:type="dxa"/>
            <w:right w:w="108" w:type="dxa"/>
          </w:tblCellMar>
        </w:tblPrEx>
        <w:trPr>
          <w:trHeight w:val="136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w:t>
            </w:r>
          </w:p>
        </w:tc>
        <w:tc>
          <w:tcPr>
            <w:tcW w:w="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数量指标</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指标1：积极做好土地出让文件和宣传制作</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提高了文件制作和视频制作质量</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采取无人机拍摄土地现场情况，提高宣传视频的清晰度和质量</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421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指标2：缴纳增值税和附加费</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按照《攀枝花市物价局 攀枝花市国土资源局关于重新制定地（矿）产交易服务收费的通知》（攀价费〔2007〕22号）要求，根据土地交易成交金额收取的交易服务费，向税务部门缴纳的增值税和附加税。</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按时缴纳</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313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指标3：保障网络信息安全</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充分利用现代科技手段有效抑制公共资源交易领域的违法违规活动</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公共资源交易平台系统建设达到国家要求安全等级，同时获得中国网络安全审查技术与认证中心颁发的电子招标投标系统最高级别“三星”认证证书</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358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指标1：积极征收土地交易手续费</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按照《攀枝花市物价局 攀枝花市国土资源局关于重新制定地（矿）产交易服务收费的通知》（攀价费〔2007〕22号）要求，根据土地交易成交金额收取的交易服务费，向税务部门缴纳的增值税和附加税。</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按时征收土地交易手续费3051.30万元</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279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指标2：进一步推动电子化平台系统的利用</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进一步推动各类型交易项目的电子化，积极联合附近市州，打通异地评标通道，切实解决我市专家库容有限问题。</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异地评标常态化，2021年电子化项目194个，成交金额9.84亿元，远程异地评标项目75个，“不见面开标”项目94个。</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186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指标3：强化现场监督</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强化技术防范手段</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建立评审区呼叫系统和全方位视频网络监控系统</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144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指标1：电子化项目和远程异地评标项目增多</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2021年</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电子化项目和远程异地评标项目较上面分别增长65%和12%</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330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指标2：信息完全和等级达到国家有关规定</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2021年</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公共资源交易平台系统建设达到国家要求安全等级，同时获得中国网络安全审查技术与认证中心颁发的电子招标投标系统最高级别“三星”认证证书</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60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指标1：土地出让文件和视频制作</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提高了文件制作和视频制作质量</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全年支付招拍挂文件及视频制作费25.20万元，日报公告费24.31万元</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60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指标2：按季度缴纳增值税和附加费</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按时缴纳</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全年支付税金65.58万元</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60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指标3：支付平台检测费</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达到国家标准</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应支付平台检测费用25.80万元</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1995"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项目效益</w:t>
            </w:r>
          </w:p>
        </w:tc>
        <w:tc>
          <w:tcPr>
            <w:tcW w:w="8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经济效益</w:t>
            </w:r>
            <w:r>
              <w:rPr>
                <w:rFonts w:hint="eastAsia" w:ascii="宋体" w:hAnsi="宋体" w:cs="宋体"/>
                <w:kern w:val="0"/>
                <w:sz w:val="24"/>
              </w:rPr>
              <w:br w:type="textWrapping"/>
            </w:r>
            <w:r>
              <w:rPr>
                <w:rFonts w:hint="eastAsia" w:ascii="宋体" w:hAnsi="宋体" w:cs="宋体"/>
                <w:kern w:val="0"/>
                <w:sz w:val="24"/>
              </w:rPr>
              <w:t>指标</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指标1：增加财政收入</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通过高质量的宣传，扩大土地市场的市场竞争力，增加财政收入。</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土地矿产交易项目受理44个，成交32个，起拍价12.02亿元，成交金额27.57亿元，为财政征收0.96亿元</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168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指标2：提高信息安全保护</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提高电子化交通平台信息安全，保障进场交易各方利益和信息安全</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全年无信息泄露事件</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285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指标1：交易工作阳光透明</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运用信息化设备进行工作业务办理，减少人工参与和人为干预，限制人员权限，避免权利寻租，减少腐败滋生，提升工作效率，降低运营成本。</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大力推动岗位廉政风险防控，全面排查廉政风险点，科学评定风险等级</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378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8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指标2：发挥统一交易平台的积极作用</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服务社会，为市本级、各区县的行政机关、国有企事业单位提供开评标场地服务，充分发挥了规范统一的交易平台的作用。</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全面面向社会开放场地，建立非强制进场项目进场交易通道，全力配合行政机关、企事业单位的招投标采购工作。全年社会代理机构项目22个，受理22个，成交20个</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114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指标1：电子化平台运行满意度</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抽样调查进场各方对电子化平台满意度达到90%以上。</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抽样调查进场各方对电子化平台满意度达到100%。</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r>
        <w:tblPrEx>
          <w:tblCellMar>
            <w:top w:w="0" w:type="dxa"/>
            <w:left w:w="108" w:type="dxa"/>
            <w:bottom w:w="0" w:type="dxa"/>
            <w:right w:w="108" w:type="dxa"/>
          </w:tblCellMar>
        </w:tblPrEx>
        <w:trPr>
          <w:trHeight w:val="1140" w:hRule="atLeast"/>
        </w:trPr>
        <w:tc>
          <w:tcPr>
            <w:tcW w:w="7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4"/>
              </w:rPr>
            </w:pPr>
          </w:p>
        </w:tc>
        <w:tc>
          <w:tcPr>
            <w:tcW w:w="7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4"/>
              </w:rPr>
            </w:pPr>
          </w:p>
        </w:tc>
        <w:tc>
          <w:tcPr>
            <w:tcW w:w="15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指标2：现场服务水平满意度</w:t>
            </w:r>
          </w:p>
        </w:tc>
        <w:tc>
          <w:tcPr>
            <w:tcW w:w="2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抽样调查进场各方对现场服务满意度达到90%以上。</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抽样调查进场各方对电子化平台满意度达到101%。</w:t>
            </w:r>
          </w:p>
        </w:tc>
        <w:tc>
          <w:tcPr>
            <w:tcW w:w="11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100.00%</w:t>
            </w:r>
          </w:p>
        </w:tc>
        <w:tc>
          <w:tcPr>
            <w:tcW w:w="1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财政收回总预算</w:t>
            </w:r>
          </w:p>
        </w:tc>
      </w:tr>
    </w:tbl>
    <w:p>
      <w:pPr>
        <w:pStyle w:val="2"/>
        <w:spacing w:before="93"/>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Fonts w:ascii="仿宋" w:hAnsi="仿宋" w:eastAsia="仿宋"/>
        </w:rPr>
      </w:pPr>
      <w:bookmarkStart w:id="96" w:name="_Toc15396618"/>
      <w:bookmarkStart w:id="97" w:name="_Toc113530929"/>
      <w:r>
        <w:rPr>
          <w:rFonts w:hint="eastAsia" w:ascii="黑体" w:hAnsi="黑体" w:eastAsia="黑体"/>
          <w:sz w:val="44"/>
          <w:szCs w:val="44"/>
        </w:rPr>
        <w:t>第</w:t>
      </w:r>
      <w:r>
        <w:rPr>
          <w:rStyle w:val="25"/>
          <w:rFonts w:hint="eastAsia" w:ascii="黑体" w:hAnsi="黑体" w:eastAsia="黑体"/>
          <w:b w:val="0"/>
        </w:rPr>
        <w:t>五部分附表</w:t>
      </w:r>
      <w:bookmarkEnd w:id="91"/>
      <w:bookmarkEnd w:id="96"/>
      <w:bookmarkEnd w:id="97"/>
      <w:bookmarkStart w:id="98" w:name="_Toc15396619"/>
    </w:p>
    <w:p>
      <w:pPr>
        <w:pStyle w:val="4"/>
        <w:rPr>
          <w:rFonts w:ascii="仿宋" w:hAnsi="仿宋" w:eastAsia="仿宋"/>
        </w:rPr>
      </w:pPr>
      <w:bookmarkStart w:id="99" w:name="_Toc113530930"/>
      <w:r>
        <w:rPr>
          <w:rFonts w:hint="eastAsia" w:ascii="仿宋" w:hAnsi="仿宋" w:eastAsia="仿宋"/>
          <w:b w:val="0"/>
        </w:rPr>
        <w:t>一、收</w:t>
      </w:r>
      <w:r>
        <w:rPr>
          <w:rStyle w:val="26"/>
          <w:rFonts w:hint="eastAsia" w:ascii="仿宋" w:hAnsi="仿宋" w:eastAsia="仿宋"/>
          <w:b w:val="0"/>
          <w:bCs w:val="0"/>
        </w:rPr>
        <w:t>入支出决算总表</w:t>
      </w:r>
      <w:bookmarkEnd w:id="98"/>
      <w:bookmarkEnd w:id="99"/>
    </w:p>
    <w:p>
      <w:pPr>
        <w:pStyle w:val="4"/>
        <w:rPr>
          <w:rFonts w:ascii="仿宋" w:hAnsi="仿宋" w:eastAsia="仿宋"/>
        </w:rPr>
      </w:pPr>
      <w:bookmarkStart w:id="100" w:name="_Toc113530931"/>
      <w:bookmarkStart w:id="101" w:name="_Toc15396620"/>
      <w:r>
        <w:rPr>
          <w:rFonts w:hint="eastAsia" w:ascii="仿宋" w:hAnsi="仿宋" w:eastAsia="仿宋"/>
          <w:b w:val="0"/>
        </w:rPr>
        <w:t>二、收</w:t>
      </w:r>
      <w:r>
        <w:rPr>
          <w:rStyle w:val="26"/>
          <w:rFonts w:hint="eastAsia" w:ascii="仿宋" w:hAnsi="仿宋" w:eastAsia="仿宋"/>
          <w:b w:val="0"/>
          <w:bCs w:val="0"/>
        </w:rPr>
        <w:t>入决算表</w:t>
      </w:r>
      <w:bookmarkEnd w:id="100"/>
      <w:bookmarkEnd w:id="101"/>
    </w:p>
    <w:p>
      <w:pPr>
        <w:pStyle w:val="4"/>
        <w:rPr>
          <w:rFonts w:ascii="仿宋" w:hAnsi="仿宋" w:eastAsia="仿宋"/>
        </w:rPr>
      </w:pPr>
      <w:bookmarkStart w:id="102" w:name="_Toc113530932"/>
      <w:bookmarkStart w:id="103"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102"/>
      <w:bookmarkEnd w:id="103"/>
    </w:p>
    <w:p>
      <w:pPr>
        <w:pStyle w:val="4"/>
        <w:rPr>
          <w:rFonts w:ascii="仿宋" w:hAnsi="仿宋" w:eastAsia="仿宋"/>
          <w:b w:val="0"/>
        </w:rPr>
      </w:pPr>
      <w:bookmarkStart w:id="104" w:name="_Toc15396622"/>
      <w:bookmarkStart w:id="105" w:name="_Toc113530933"/>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104"/>
      <w:bookmarkEnd w:id="105"/>
    </w:p>
    <w:p>
      <w:pPr>
        <w:pStyle w:val="4"/>
        <w:rPr>
          <w:rStyle w:val="26"/>
          <w:rFonts w:ascii="仿宋" w:hAnsi="仿宋" w:eastAsia="仿宋"/>
          <w:b w:val="0"/>
          <w:bCs w:val="0"/>
        </w:rPr>
      </w:pPr>
      <w:bookmarkStart w:id="106" w:name="_Toc113530934"/>
      <w:bookmarkStart w:id="107"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106"/>
      <w:bookmarkEnd w:id="107"/>
      <w:bookmarkStart w:id="108" w:name="_Toc15396624"/>
    </w:p>
    <w:p>
      <w:pPr>
        <w:pStyle w:val="4"/>
        <w:rPr>
          <w:rFonts w:ascii="仿宋" w:hAnsi="仿宋" w:eastAsia="仿宋"/>
        </w:rPr>
      </w:pPr>
      <w:bookmarkStart w:id="109" w:name="_Toc113530935"/>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108"/>
      <w:bookmarkEnd w:id="109"/>
    </w:p>
    <w:p>
      <w:pPr>
        <w:pStyle w:val="4"/>
        <w:rPr>
          <w:rFonts w:ascii="仿宋" w:hAnsi="仿宋" w:eastAsia="仿宋"/>
        </w:rPr>
      </w:pPr>
      <w:bookmarkStart w:id="110" w:name="_Toc113530936"/>
      <w:bookmarkStart w:id="111"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110"/>
      <w:bookmarkEnd w:id="111"/>
    </w:p>
    <w:p>
      <w:pPr>
        <w:pStyle w:val="4"/>
        <w:rPr>
          <w:rFonts w:ascii="仿宋" w:hAnsi="仿宋" w:eastAsia="仿宋"/>
        </w:rPr>
      </w:pPr>
      <w:bookmarkStart w:id="112" w:name="_Toc113530937"/>
      <w:bookmarkStart w:id="113"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12"/>
      <w:bookmarkEnd w:id="113"/>
    </w:p>
    <w:p>
      <w:pPr>
        <w:pStyle w:val="4"/>
        <w:rPr>
          <w:rFonts w:ascii="仿宋" w:hAnsi="仿宋" w:eastAsia="仿宋"/>
        </w:rPr>
      </w:pPr>
      <w:bookmarkStart w:id="114" w:name="_Toc113530938"/>
      <w:bookmarkStart w:id="115"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14"/>
      <w:bookmarkEnd w:id="115"/>
    </w:p>
    <w:p>
      <w:pPr>
        <w:pStyle w:val="4"/>
        <w:rPr>
          <w:rFonts w:ascii="仿宋" w:hAnsi="仿宋" w:eastAsia="仿宋"/>
        </w:rPr>
      </w:pPr>
      <w:bookmarkStart w:id="116" w:name="_Toc113530939"/>
      <w:bookmarkStart w:id="117"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16"/>
      <w:bookmarkEnd w:id="117"/>
    </w:p>
    <w:p>
      <w:pPr>
        <w:pStyle w:val="4"/>
        <w:rPr>
          <w:rFonts w:ascii="仿宋" w:hAnsi="仿宋" w:eastAsia="仿宋"/>
        </w:rPr>
      </w:pPr>
      <w:bookmarkStart w:id="118" w:name="_Toc15396629"/>
      <w:bookmarkStart w:id="119" w:name="_Toc113530940"/>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18"/>
      <w:bookmarkEnd w:id="119"/>
    </w:p>
    <w:p>
      <w:pPr>
        <w:pStyle w:val="4"/>
        <w:rPr>
          <w:rFonts w:ascii="仿宋" w:hAnsi="仿宋" w:eastAsia="仿宋"/>
        </w:rPr>
      </w:pPr>
      <w:bookmarkStart w:id="120" w:name="_Toc113530941"/>
      <w:bookmarkStart w:id="121"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20"/>
      <w:bookmarkEnd w:id="121"/>
    </w:p>
    <w:p>
      <w:pPr>
        <w:pStyle w:val="4"/>
        <w:rPr>
          <w:rStyle w:val="26"/>
          <w:rFonts w:ascii="仿宋" w:hAnsi="仿宋" w:eastAsia="仿宋"/>
          <w:b w:val="0"/>
          <w:bCs w:val="0"/>
        </w:rPr>
      </w:pPr>
      <w:bookmarkStart w:id="122" w:name="_Toc113530942"/>
      <w:bookmarkStart w:id="123"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22"/>
      <w:bookmarkEnd w:id="123"/>
    </w:p>
    <w:p>
      <w:pPr>
        <w:rPr>
          <w:rFonts w:eastAsia="仿宋"/>
        </w:rPr>
      </w:pPr>
      <w:bookmarkStart w:id="124" w:name="_Toc113530943"/>
      <w:r>
        <w:rPr>
          <w:rStyle w:val="26"/>
          <w:rFonts w:hint="eastAsia" w:ascii="仿宋" w:hAnsi="仿宋" w:eastAsia="仿宋"/>
          <w:b w:val="0"/>
          <w:bCs w:val="0"/>
        </w:rPr>
        <w:t>十四、国有资本经营预算财政拨款支出决算表</w:t>
      </w:r>
      <w:bookmarkEnd w:id="12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33</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0938"/>
    <w:rsid w:val="00142023"/>
    <w:rsid w:val="00142216"/>
    <w:rsid w:val="00144D6A"/>
    <w:rsid w:val="0014729F"/>
    <w:rsid w:val="00157BAB"/>
    <w:rsid w:val="001654D1"/>
    <w:rsid w:val="00174518"/>
    <w:rsid w:val="0018106D"/>
    <w:rsid w:val="001877A7"/>
    <w:rsid w:val="00191536"/>
    <w:rsid w:val="00196687"/>
    <w:rsid w:val="001C0962"/>
    <w:rsid w:val="001C1EB2"/>
    <w:rsid w:val="001D7531"/>
    <w:rsid w:val="001E737D"/>
    <w:rsid w:val="001F0592"/>
    <w:rsid w:val="001F7506"/>
    <w:rsid w:val="002006CD"/>
    <w:rsid w:val="00202B36"/>
    <w:rsid w:val="00204B7A"/>
    <w:rsid w:val="00204CDE"/>
    <w:rsid w:val="0021101A"/>
    <w:rsid w:val="00220536"/>
    <w:rsid w:val="00230E73"/>
    <w:rsid w:val="002315BB"/>
    <w:rsid w:val="00235629"/>
    <w:rsid w:val="00236217"/>
    <w:rsid w:val="00260C38"/>
    <w:rsid w:val="002616C0"/>
    <w:rsid w:val="00265372"/>
    <w:rsid w:val="002662AA"/>
    <w:rsid w:val="00280496"/>
    <w:rsid w:val="00294DC9"/>
    <w:rsid w:val="00295495"/>
    <w:rsid w:val="002A2B68"/>
    <w:rsid w:val="002A31DE"/>
    <w:rsid w:val="002B2613"/>
    <w:rsid w:val="002D04EC"/>
    <w:rsid w:val="002D6D05"/>
    <w:rsid w:val="002F1818"/>
    <w:rsid w:val="002F567B"/>
    <w:rsid w:val="00303116"/>
    <w:rsid w:val="003216A9"/>
    <w:rsid w:val="00335A74"/>
    <w:rsid w:val="003416AE"/>
    <w:rsid w:val="0036561B"/>
    <w:rsid w:val="0037013F"/>
    <w:rsid w:val="00380C92"/>
    <w:rsid w:val="003A3A4F"/>
    <w:rsid w:val="003A484F"/>
    <w:rsid w:val="003A4883"/>
    <w:rsid w:val="003B0BE0"/>
    <w:rsid w:val="003B0C1B"/>
    <w:rsid w:val="003B688C"/>
    <w:rsid w:val="003C0291"/>
    <w:rsid w:val="003C39AE"/>
    <w:rsid w:val="003C7B60"/>
    <w:rsid w:val="003D0C0F"/>
    <w:rsid w:val="003D142F"/>
    <w:rsid w:val="003D1FB2"/>
    <w:rsid w:val="003D66DA"/>
    <w:rsid w:val="003E1310"/>
    <w:rsid w:val="003E6F55"/>
    <w:rsid w:val="0040407F"/>
    <w:rsid w:val="00406254"/>
    <w:rsid w:val="004223DE"/>
    <w:rsid w:val="00434489"/>
    <w:rsid w:val="00437085"/>
    <w:rsid w:val="0043722B"/>
    <w:rsid w:val="00443880"/>
    <w:rsid w:val="004464F4"/>
    <w:rsid w:val="00460AAD"/>
    <w:rsid w:val="00471401"/>
    <w:rsid w:val="00473F31"/>
    <w:rsid w:val="0048263A"/>
    <w:rsid w:val="00487E5D"/>
    <w:rsid w:val="004A711F"/>
    <w:rsid w:val="004B199D"/>
    <w:rsid w:val="004B25EA"/>
    <w:rsid w:val="004B2E54"/>
    <w:rsid w:val="004B4690"/>
    <w:rsid w:val="004C66D9"/>
    <w:rsid w:val="004C6A8D"/>
    <w:rsid w:val="004C7BAB"/>
    <w:rsid w:val="004E0A2D"/>
    <w:rsid w:val="004E206B"/>
    <w:rsid w:val="004E6DF7"/>
    <w:rsid w:val="004F0FBD"/>
    <w:rsid w:val="00505A47"/>
    <w:rsid w:val="00506088"/>
    <w:rsid w:val="00512FDA"/>
    <w:rsid w:val="00520DA0"/>
    <w:rsid w:val="00524D0D"/>
    <w:rsid w:val="005664BB"/>
    <w:rsid w:val="00566FFA"/>
    <w:rsid w:val="0057481D"/>
    <w:rsid w:val="0058486E"/>
    <w:rsid w:val="00585B33"/>
    <w:rsid w:val="0059014D"/>
    <w:rsid w:val="005B5C64"/>
    <w:rsid w:val="005C5337"/>
    <w:rsid w:val="005C6BD0"/>
    <w:rsid w:val="005D1C8B"/>
    <w:rsid w:val="005D468D"/>
    <w:rsid w:val="005D5CED"/>
    <w:rsid w:val="005E1975"/>
    <w:rsid w:val="005F0792"/>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6226"/>
    <w:rsid w:val="00653EB3"/>
    <w:rsid w:val="00660194"/>
    <w:rsid w:val="0066343B"/>
    <w:rsid w:val="00664777"/>
    <w:rsid w:val="006748A4"/>
    <w:rsid w:val="00681A31"/>
    <w:rsid w:val="00683E73"/>
    <w:rsid w:val="006A3141"/>
    <w:rsid w:val="006A5E34"/>
    <w:rsid w:val="006B2422"/>
    <w:rsid w:val="006B2B9A"/>
    <w:rsid w:val="006C1937"/>
    <w:rsid w:val="006C4721"/>
    <w:rsid w:val="006D33A7"/>
    <w:rsid w:val="006F020C"/>
    <w:rsid w:val="007127B7"/>
    <w:rsid w:val="0071798E"/>
    <w:rsid w:val="007416B6"/>
    <w:rsid w:val="00746F48"/>
    <w:rsid w:val="0075404D"/>
    <w:rsid w:val="0076182A"/>
    <w:rsid w:val="00766451"/>
    <w:rsid w:val="00767B7E"/>
    <w:rsid w:val="007770C3"/>
    <w:rsid w:val="00784D24"/>
    <w:rsid w:val="00785FBA"/>
    <w:rsid w:val="00786E4A"/>
    <w:rsid w:val="007875EB"/>
    <w:rsid w:val="0079426B"/>
    <w:rsid w:val="007B1ABF"/>
    <w:rsid w:val="007B514E"/>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77ED8"/>
    <w:rsid w:val="00885AF4"/>
    <w:rsid w:val="008939CD"/>
    <w:rsid w:val="008976C0"/>
    <w:rsid w:val="008A7E32"/>
    <w:rsid w:val="008B768C"/>
    <w:rsid w:val="008C4DB1"/>
    <w:rsid w:val="008C4EAF"/>
    <w:rsid w:val="008C5176"/>
    <w:rsid w:val="008C7FD0"/>
    <w:rsid w:val="008E1DE7"/>
    <w:rsid w:val="008E707C"/>
    <w:rsid w:val="008F734D"/>
    <w:rsid w:val="00900B08"/>
    <w:rsid w:val="00902155"/>
    <w:rsid w:val="00902FA3"/>
    <w:rsid w:val="00903C27"/>
    <w:rsid w:val="00923564"/>
    <w:rsid w:val="0092392E"/>
    <w:rsid w:val="00930E18"/>
    <w:rsid w:val="009315F9"/>
    <w:rsid w:val="00933499"/>
    <w:rsid w:val="00935C98"/>
    <w:rsid w:val="00946945"/>
    <w:rsid w:val="00951248"/>
    <w:rsid w:val="0095152F"/>
    <w:rsid w:val="00954C49"/>
    <w:rsid w:val="00955E37"/>
    <w:rsid w:val="0097099F"/>
    <w:rsid w:val="00971997"/>
    <w:rsid w:val="00971FFC"/>
    <w:rsid w:val="0098660A"/>
    <w:rsid w:val="009931C3"/>
    <w:rsid w:val="00993B5E"/>
    <w:rsid w:val="009A47DD"/>
    <w:rsid w:val="009B2C43"/>
    <w:rsid w:val="009B4EAE"/>
    <w:rsid w:val="009B7573"/>
    <w:rsid w:val="009C22F4"/>
    <w:rsid w:val="009C2A4B"/>
    <w:rsid w:val="009C2E98"/>
    <w:rsid w:val="009C3E31"/>
    <w:rsid w:val="009D3447"/>
    <w:rsid w:val="009D4711"/>
    <w:rsid w:val="009F1185"/>
    <w:rsid w:val="009F18CD"/>
    <w:rsid w:val="009F2A13"/>
    <w:rsid w:val="009F7527"/>
    <w:rsid w:val="00A04EB0"/>
    <w:rsid w:val="00A13CC1"/>
    <w:rsid w:val="00A16847"/>
    <w:rsid w:val="00A237D8"/>
    <w:rsid w:val="00A268C4"/>
    <w:rsid w:val="00A307CD"/>
    <w:rsid w:val="00A30853"/>
    <w:rsid w:val="00A331C8"/>
    <w:rsid w:val="00A40A00"/>
    <w:rsid w:val="00A4142F"/>
    <w:rsid w:val="00A422EB"/>
    <w:rsid w:val="00A45BB7"/>
    <w:rsid w:val="00A45FD7"/>
    <w:rsid w:val="00A56DF2"/>
    <w:rsid w:val="00A56E6E"/>
    <w:rsid w:val="00A63B74"/>
    <w:rsid w:val="00A63D4F"/>
    <w:rsid w:val="00A67AB5"/>
    <w:rsid w:val="00A7222B"/>
    <w:rsid w:val="00A733B2"/>
    <w:rsid w:val="00A741C2"/>
    <w:rsid w:val="00A91760"/>
    <w:rsid w:val="00A93B00"/>
    <w:rsid w:val="00A93C21"/>
    <w:rsid w:val="00AA1F38"/>
    <w:rsid w:val="00AB64C9"/>
    <w:rsid w:val="00AC3C6A"/>
    <w:rsid w:val="00AD5620"/>
    <w:rsid w:val="00AD656B"/>
    <w:rsid w:val="00AD7C1B"/>
    <w:rsid w:val="00AE16BA"/>
    <w:rsid w:val="00AE1EBE"/>
    <w:rsid w:val="00B03C9D"/>
    <w:rsid w:val="00B060AE"/>
    <w:rsid w:val="00B10517"/>
    <w:rsid w:val="00B14E76"/>
    <w:rsid w:val="00B161B8"/>
    <w:rsid w:val="00B2048C"/>
    <w:rsid w:val="00B27091"/>
    <w:rsid w:val="00B310B9"/>
    <w:rsid w:val="00B35F3F"/>
    <w:rsid w:val="00B36CBB"/>
    <w:rsid w:val="00B425E0"/>
    <w:rsid w:val="00B440AA"/>
    <w:rsid w:val="00B44B70"/>
    <w:rsid w:val="00B53C56"/>
    <w:rsid w:val="00B57DAF"/>
    <w:rsid w:val="00B7740E"/>
    <w:rsid w:val="00B77EA6"/>
    <w:rsid w:val="00B81598"/>
    <w:rsid w:val="00B841F1"/>
    <w:rsid w:val="00B944D6"/>
    <w:rsid w:val="00B97B69"/>
    <w:rsid w:val="00BA093A"/>
    <w:rsid w:val="00BA60E4"/>
    <w:rsid w:val="00BA7082"/>
    <w:rsid w:val="00BB4DF0"/>
    <w:rsid w:val="00BC289F"/>
    <w:rsid w:val="00BC2D50"/>
    <w:rsid w:val="00BC5361"/>
    <w:rsid w:val="00BC5460"/>
    <w:rsid w:val="00BC6B50"/>
    <w:rsid w:val="00BD0E25"/>
    <w:rsid w:val="00BF5BD6"/>
    <w:rsid w:val="00C03E31"/>
    <w:rsid w:val="00C21BC3"/>
    <w:rsid w:val="00C21C8E"/>
    <w:rsid w:val="00C33E72"/>
    <w:rsid w:val="00C354B2"/>
    <w:rsid w:val="00C35554"/>
    <w:rsid w:val="00C42709"/>
    <w:rsid w:val="00C46507"/>
    <w:rsid w:val="00C533CC"/>
    <w:rsid w:val="00C5751C"/>
    <w:rsid w:val="00C61BFC"/>
    <w:rsid w:val="00C62B85"/>
    <w:rsid w:val="00C65438"/>
    <w:rsid w:val="00C77C73"/>
    <w:rsid w:val="00C87FD8"/>
    <w:rsid w:val="00C91381"/>
    <w:rsid w:val="00C91CBB"/>
    <w:rsid w:val="00C95D80"/>
    <w:rsid w:val="00CB4E70"/>
    <w:rsid w:val="00CC09B6"/>
    <w:rsid w:val="00CC666F"/>
    <w:rsid w:val="00CD1E3F"/>
    <w:rsid w:val="00CE44F6"/>
    <w:rsid w:val="00CE49DA"/>
    <w:rsid w:val="00CE7B61"/>
    <w:rsid w:val="00D00095"/>
    <w:rsid w:val="00D02259"/>
    <w:rsid w:val="00D114F0"/>
    <w:rsid w:val="00D1741E"/>
    <w:rsid w:val="00D20620"/>
    <w:rsid w:val="00D254F7"/>
    <w:rsid w:val="00D26091"/>
    <w:rsid w:val="00D2685C"/>
    <w:rsid w:val="00D34E7C"/>
    <w:rsid w:val="00D35489"/>
    <w:rsid w:val="00D36AFE"/>
    <w:rsid w:val="00D51276"/>
    <w:rsid w:val="00D56C95"/>
    <w:rsid w:val="00D7035F"/>
    <w:rsid w:val="00DA51E8"/>
    <w:rsid w:val="00DA634F"/>
    <w:rsid w:val="00DA65AC"/>
    <w:rsid w:val="00DB1913"/>
    <w:rsid w:val="00DC410D"/>
    <w:rsid w:val="00DC5A81"/>
    <w:rsid w:val="00DC68CA"/>
    <w:rsid w:val="00DC7CBA"/>
    <w:rsid w:val="00DD73B7"/>
    <w:rsid w:val="00DF28BC"/>
    <w:rsid w:val="00DF34B9"/>
    <w:rsid w:val="00DF7506"/>
    <w:rsid w:val="00E01053"/>
    <w:rsid w:val="00E07ACF"/>
    <w:rsid w:val="00E331A1"/>
    <w:rsid w:val="00E33202"/>
    <w:rsid w:val="00E336A9"/>
    <w:rsid w:val="00E43A89"/>
    <w:rsid w:val="00E472B1"/>
    <w:rsid w:val="00E50624"/>
    <w:rsid w:val="00E568DF"/>
    <w:rsid w:val="00E623FA"/>
    <w:rsid w:val="00E64269"/>
    <w:rsid w:val="00E651EB"/>
    <w:rsid w:val="00E82267"/>
    <w:rsid w:val="00E853CE"/>
    <w:rsid w:val="00E867B6"/>
    <w:rsid w:val="00EA010F"/>
    <w:rsid w:val="00EA2658"/>
    <w:rsid w:val="00ED1B63"/>
    <w:rsid w:val="00ED3C1F"/>
    <w:rsid w:val="00ED4085"/>
    <w:rsid w:val="00ED420E"/>
    <w:rsid w:val="00ED6FBE"/>
    <w:rsid w:val="00EE2F57"/>
    <w:rsid w:val="00EF08C1"/>
    <w:rsid w:val="00EF4C34"/>
    <w:rsid w:val="00EF77C6"/>
    <w:rsid w:val="00F05438"/>
    <w:rsid w:val="00F1361C"/>
    <w:rsid w:val="00F156F0"/>
    <w:rsid w:val="00F160C7"/>
    <w:rsid w:val="00F22418"/>
    <w:rsid w:val="00F2408F"/>
    <w:rsid w:val="00F240E9"/>
    <w:rsid w:val="00F2711D"/>
    <w:rsid w:val="00F36D8F"/>
    <w:rsid w:val="00F417B1"/>
    <w:rsid w:val="00F45853"/>
    <w:rsid w:val="00F54EC1"/>
    <w:rsid w:val="00F602DF"/>
    <w:rsid w:val="00F754A1"/>
    <w:rsid w:val="00F81FD9"/>
    <w:rsid w:val="00F821C7"/>
    <w:rsid w:val="00F841AA"/>
    <w:rsid w:val="00F84A94"/>
    <w:rsid w:val="00F87E96"/>
    <w:rsid w:val="00F92D54"/>
    <w:rsid w:val="00FA23E8"/>
    <w:rsid w:val="00FB73F0"/>
    <w:rsid w:val="00FC3306"/>
    <w:rsid w:val="00FD314D"/>
    <w:rsid w:val="00FD3CC1"/>
    <w:rsid w:val="00FF149E"/>
    <w:rsid w:val="00FF1E02"/>
    <w:rsid w:val="00FF30B4"/>
    <w:rsid w:val="00FF6E2F"/>
    <w:rsid w:val="066E0107"/>
    <w:rsid w:val="07996F6E"/>
    <w:rsid w:val="0A2032A3"/>
    <w:rsid w:val="101860EC"/>
    <w:rsid w:val="10C055FF"/>
    <w:rsid w:val="118107EC"/>
    <w:rsid w:val="13D50BC4"/>
    <w:rsid w:val="16BB723D"/>
    <w:rsid w:val="1BE8440E"/>
    <w:rsid w:val="1D155CEE"/>
    <w:rsid w:val="23860B96"/>
    <w:rsid w:val="240371BF"/>
    <w:rsid w:val="24086D6E"/>
    <w:rsid w:val="29FD04D3"/>
    <w:rsid w:val="2C8A61B5"/>
    <w:rsid w:val="2DF04E50"/>
    <w:rsid w:val="319F7F4E"/>
    <w:rsid w:val="3423008E"/>
    <w:rsid w:val="34614ECD"/>
    <w:rsid w:val="352F213F"/>
    <w:rsid w:val="36AA5135"/>
    <w:rsid w:val="37E16F03"/>
    <w:rsid w:val="3D98207C"/>
    <w:rsid w:val="44E268DA"/>
    <w:rsid w:val="4A627F82"/>
    <w:rsid w:val="4B4F25DA"/>
    <w:rsid w:val="4BE068DB"/>
    <w:rsid w:val="4D577224"/>
    <w:rsid w:val="4EAB630A"/>
    <w:rsid w:val="4ECE2238"/>
    <w:rsid w:val="56240F3C"/>
    <w:rsid w:val="57134C96"/>
    <w:rsid w:val="5AF92295"/>
    <w:rsid w:val="5CD71FC4"/>
    <w:rsid w:val="61EC43FC"/>
    <w:rsid w:val="6C4A05C8"/>
    <w:rsid w:val="6E7E3605"/>
    <w:rsid w:val="6FF5CC65"/>
    <w:rsid w:val="715C0E4B"/>
    <w:rsid w:val="72734D90"/>
    <w:rsid w:val="73AD73D5"/>
    <w:rsid w:val="73B6EB34"/>
    <w:rsid w:val="79EE5BA4"/>
    <w:rsid w:val="7A894339"/>
    <w:rsid w:val="7E647311"/>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1">
    <w:name w:val="p15"/>
    <w:basedOn w:val="1"/>
    <w:uiPriority w:val="0"/>
    <w:pPr>
      <w:widowControl/>
      <w:spacing w:before="100" w:beforeAutospacing="1" w:after="100" w:afterAutospacing="1"/>
      <w:jc w:val="left"/>
    </w:pPr>
    <w:rPr>
      <w:rFonts w:ascii="宋体" w:hAnsi="宋体" w:cs="宋体"/>
      <w:kern w:val="0"/>
      <w:sz w:val="24"/>
    </w:rPr>
  </w:style>
  <w:style w:type="character" w:customStyle="1" w:styleId="32">
    <w:name w:val="s2"/>
    <w:basedOn w:val="14"/>
    <w:uiPriority w:val="0"/>
  </w:style>
  <w:style w:type="paragraph" w:customStyle="1" w:styleId="33">
    <w:name w:val="p19"/>
    <w:basedOn w:val="1"/>
    <w:uiPriority w:val="0"/>
    <w:pPr>
      <w:widowControl/>
      <w:spacing w:before="100" w:beforeAutospacing="1" w:after="100" w:afterAutospacing="1"/>
      <w:jc w:val="left"/>
    </w:pPr>
    <w:rPr>
      <w:rFonts w:ascii="宋体" w:hAnsi="宋体" w:cs="宋体"/>
      <w:kern w:val="0"/>
      <w:sz w:val="24"/>
    </w:rPr>
  </w:style>
  <w:style w:type="character" w:customStyle="1" w:styleId="34">
    <w:name w:val="s1"/>
    <w:basedOn w:val="14"/>
    <w:uiPriority w:val="0"/>
  </w:style>
  <w:style w:type="paragraph" w:customStyle="1" w:styleId="35">
    <w:name w:val="p20"/>
    <w:basedOn w:val="1"/>
    <w:uiPriority w:val="0"/>
    <w:pPr>
      <w:widowControl/>
      <w:spacing w:before="100" w:beforeAutospacing="1" w:after="100" w:afterAutospacing="1"/>
      <w:jc w:val="left"/>
    </w:pPr>
    <w:rPr>
      <w:rFonts w:ascii="宋体" w:hAnsi="宋体" w:cs="宋体"/>
      <w:kern w:val="0"/>
      <w:sz w:val="24"/>
    </w:rPr>
  </w:style>
  <w:style w:type="paragraph" w:customStyle="1" w:styleId="36">
    <w:name w:val="p45"/>
    <w:basedOn w:val="1"/>
    <w:uiPriority w:val="0"/>
    <w:pPr>
      <w:widowControl/>
      <w:spacing w:before="100" w:beforeAutospacing="1" w:after="100" w:afterAutospacing="1"/>
      <w:jc w:val="left"/>
    </w:pPr>
    <w:rPr>
      <w:rFonts w:ascii="宋体" w:hAnsi="宋体" w:cs="宋体"/>
      <w:kern w:val="0"/>
      <w:sz w:val="24"/>
    </w:rPr>
  </w:style>
  <w:style w:type="paragraph" w:customStyle="1" w:styleId="37">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437C31-1491-402C-A4C5-1F2FC1DDF96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43</Pages>
  <Words>3191</Words>
  <Characters>18195</Characters>
  <Lines>151</Lines>
  <Paragraphs>42</Paragraphs>
  <TotalTime>9</TotalTime>
  <ScaleCrop>false</ScaleCrop>
  <LinksUpToDate>false</LinksUpToDate>
  <CharactersWithSpaces>21344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李燕君</cp:lastModifiedBy>
  <cp:lastPrinted>2022-08-08T09:11:00Z</cp:lastPrinted>
  <dcterms:modified xsi:type="dcterms:W3CDTF">2023-10-20T01:41:05Z</dcterms:modified>
  <dc:title>四川省***</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